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142"/>
        <w:gridCol w:w="6"/>
        <w:gridCol w:w="14"/>
      </w:tblGrid>
      <w:tr w:rsidR="00933BB6" w:rsidTr="00933BB6">
        <w:trPr>
          <w:gridAfter w:val="2"/>
          <w:wAfter w:w="20" w:type="dxa"/>
        </w:trPr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933BB6" w:rsidTr="00933BB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Pr="004E5EDE" w:rsidRDefault="00933BB6" w:rsidP="00015241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015241">
                    <w:rPr>
                      <w:sz w:val="24"/>
                      <w:szCs w:val="24"/>
                    </w:rPr>
                    <w:t xml:space="preserve">10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Default="00933BB6" w:rsidP="00933BB6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33BB6" w:rsidRPr="004E5EDE" w:rsidRDefault="00933BB6" w:rsidP="00015241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Pr="004E5EDE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015241">
                    <w:rPr>
                      <w:color w:val="000000"/>
                      <w:sz w:val="24"/>
                      <w:szCs w:val="24"/>
                    </w:rPr>
                    <w:t>146</w:t>
                  </w: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933BB6" w:rsidTr="00933BB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Pr="00933BB6" w:rsidRDefault="00933B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33BB6">
                    <w:rPr>
                      <w:b/>
                      <w:sz w:val="24"/>
                      <w:szCs w:val="24"/>
                    </w:rPr>
                    <w:t>TURTO VALDYMO SKYRIAUS PATARĖJO</w:t>
                  </w:r>
                </w:p>
              </w:tc>
            </w:tr>
            <w:tr w:rsidR="00933BB6" w:rsidTr="00933BB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C629B" w:rsidRDefault="004C629B"/>
        </w:tc>
        <w:tc>
          <w:tcPr>
            <w:tcW w:w="142" w:type="dxa"/>
          </w:tcPr>
          <w:p w:rsidR="004C629B" w:rsidRDefault="004C629B">
            <w:pPr>
              <w:pStyle w:val="EmptyLayoutCell"/>
            </w:pPr>
          </w:p>
        </w:tc>
      </w:tr>
      <w:tr w:rsidR="004C629B" w:rsidTr="00933BB6">
        <w:trPr>
          <w:gridAfter w:val="1"/>
          <w:wAfter w:w="14" w:type="dxa"/>
          <w:trHeight w:val="349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629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 xml:space="preserve">1. Pareigybės lygmuo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patarėjas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(VIII lygmuo).</w:t>
                  </w:r>
                </w:p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120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62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629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C62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C629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C62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4C629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C629B" w:rsidRDefault="004C629B"/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126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C62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629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4C629B" w:rsidTr="00933BB6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 w:rsidP="00933BB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Sprendimų, susijusių su valstybės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valdymu,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disponavimu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629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4C629B" w:rsidTr="00933BB6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 w:rsidP="00933BB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Sprendimų, susijusių su valstybės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valdymu,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disponavimu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4C629B" w:rsidTr="00933BB6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C629B" w:rsidRDefault="00CF7041">
                        <w:r>
                          <w:rPr>
                            <w:color w:val="000000"/>
                            <w:sz w:val="24"/>
                          </w:rPr>
                          <w:t xml:space="preserve">6.2.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inicijavimas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pagal Skyriaus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C629B" w:rsidRDefault="004C629B"/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100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4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62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39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94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Dalyvauja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su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dokumentus arba prireikus koordinuoja su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dokumentų rengimą.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C629B" w:rsidTr="00933BB6">
              <w:trPr>
                <w:trHeight w:val="258"/>
              </w:trPr>
              <w:tc>
                <w:tcPr>
                  <w:tcW w:w="94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4C629B" w:rsidRDefault="004C629B" w:rsidP="00933BB6">
            <w:pPr>
              <w:jc w:val="both"/>
            </w:pPr>
          </w:p>
        </w:tc>
      </w:tr>
      <w:tr w:rsidR="004C629B" w:rsidTr="00933BB6">
        <w:trPr>
          <w:trHeight w:val="20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 w:rsidP="00933BB6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4C629B" w:rsidRDefault="004C629B" w:rsidP="00933BB6">
            <w:pPr>
              <w:pStyle w:val="EmptyLayoutCell"/>
              <w:jc w:val="both"/>
            </w:pPr>
          </w:p>
        </w:tc>
        <w:tc>
          <w:tcPr>
            <w:tcW w:w="9737" w:type="dxa"/>
            <w:gridSpan w:val="2"/>
          </w:tcPr>
          <w:p w:rsidR="004C629B" w:rsidRDefault="004C629B" w:rsidP="00933BB6">
            <w:pPr>
              <w:pStyle w:val="EmptyLayoutCell"/>
              <w:jc w:val="both"/>
            </w:pPr>
          </w:p>
        </w:tc>
        <w:tc>
          <w:tcPr>
            <w:tcW w:w="20" w:type="dxa"/>
            <w:gridSpan w:val="2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02"/>
            </w:tblGrid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Vykdo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disponavimo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asmenų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susirinkimuose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Savivaldybės, kaip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atstovavimą.</w:t>
                  </w:r>
                </w:p>
              </w:tc>
            </w:tr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Organizuoja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nustatyta tvarka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nuosavybėn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kadastrinių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matavimų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perdavimą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bei perdavimą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tikslina duomenis.</w:t>
                  </w:r>
                </w:p>
              </w:tc>
            </w:tr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STRAPIS, juos tikslina.</w:t>
                  </w:r>
                </w:p>
              </w:tc>
            </w:tr>
            <w:tr w:rsidR="004C629B" w:rsidTr="00933BB6">
              <w:trPr>
                <w:trHeight w:val="254"/>
              </w:trPr>
              <w:tc>
                <w:tcPr>
                  <w:tcW w:w="9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 w:rsidP="00933BB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25. Vykdo Savivaldybės administracijos Finansų kontrolės taisyklėse nustatytas finansų kontrolės funkcijas.</w:t>
                  </w:r>
                </w:p>
              </w:tc>
            </w:tr>
          </w:tbl>
          <w:p w:rsidR="004C629B" w:rsidRDefault="004C629B" w:rsidP="00933BB6">
            <w:pPr>
              <w:jc w:val="both"/>
            </w:pPr>
          </w:p>
        </w:tc>
      </w:tr>
      <w:tr w:rsidR="004C629B" w:rsidTr="00933BB6">
        <w:trPr>
          <w:gridAfter w:val="1"/>
          <w:wAfter w:w="14" w:type="dxa"/>
          <w:trHeight w:val="20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6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>26. Vykdo kitus nenuolatinio pobūdžio su struktūrinio padalinio veikla susijusius pavedimus.</w:t>
                  </w:r>
                </w:p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139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C629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C629B" w:rsidRDefault="00CF70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C629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>27.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C629B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4C629B" w:rsidTr="00995F46">
                    <w:trPr>
                      <w:trHeight w:val="2021"/>
                    </w:trPr>
                    <w:tc>
                      <w:tcPr>
                        <w:tcW w:w="94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3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35"/>
                        </w:tblGrid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 w:rsidP="00933BB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>27.3. studijų kryptis – viešasis administravimas (arba);</w:t>
                              </w:r>
                            </w:p>
                          </w:tc>
                        </w:tr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>27.4. studijų kryptis – vadyba (arba);</w:t>
                              </w:r>
                            </w:p>
                          </w:tc>
                        </w:tr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C629B" w:rsidTr="00995F46">
                          <w:trPr>
                            <w:trHeight w:val="257"/>
                          </w:trPr>
                          <w:tc>
                            <w:tcPr>
                              <w:tcW w:w="933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C629B" w:rsidRDefault="004C629B"/>
                    </w:tc>
                  </w:tr>
                  <w:tr w:rsidR="004C629B" w:rsidTr="00995F46">
                    <w:trPr>
                      <w:trHeight w:val="1010"/>
                    </w:trPr>
                    <w:tc>
                      <w:tcPr>
                        <w:tcW w:w="947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7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78"/>
                        </w:tblGrid>
                        <w:tr w:rsidR="004C629B" w:rsidTr="00C8653E">
                          <w:trPr>
                            <w:trHeight w:val="257"/>
                          </w:trPr>
                          <w:tc>
                            <w:tcPr>
                              <w:tcW w:w="947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 w:rsidP="00933BB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C629B" w:rsidTr="00C8653E">
                          <w:trPr>
                            <w:trHeight w:val="257"/>
                          </w:trPr>
                          <w:tc>
                            <w:tcPr>
                              <w:tcW w:w="947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27.7.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eksploatavimo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4C629B" w:rsidTr="00C8653E">
                          <w:trPr>
                            <w:trHeight w:val="257"/>
                          </w:trPr>
                          <w:tc>
                            <w:tcPr>
                              <w:tcW w:w="947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C629B" w:rsidRDefault="00CF7041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27.8.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2 metai. 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180" w:rightFromText="180" w:vertAnchor="text" w:horzAnchor="margin" w:tblpY="199"/>
                          <w:tblOverlap w:val="never"/>
                          <w:tblW w:w="907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8653E" w:rsidTr="00C8653E">
                          <w:trPr>
                            <w:trHeight w:val="60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8653E" w:rsidRDefault="00C8653E" w:rsidP="00C8653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VI SKYRIUS</w:t>
                              </w:r>
                            </w:p>
                            <w:p w:rsidR="00C8653E" w:rsidRDefault="00C8653E" w:rsidP="00C8653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KOMPETENCIJOS</w:t>
                              </w:r>
                            </w:p>
                          </w:tc>
                        </w:tr>
                        <w:tr w:rsidR="00C8653E" w:rsidTr="00C8653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8653E" w:rsidRDefault="00C8653E" w:rsidP="00C8653E">
                              <w:r>
                                <w:rPr>
                                  <w:color w:val="000000"/>
                                  <w:sz w:val="24"/>
                                </w:rPr>
                                <w:t>28. Bendrosios kompetencijos ir jų pakankami lygiai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0</w:t>
                              </w:r>
                              <w:proofErr w:type="gramEnd"/>
                            </w:p>
                          </w:tc>
                        </w:tr>
                        <w:tr w:rsidR="00C8653E" w:rsidTr="00C8653E">
                          <w:trPr>
                            <w:trHeight w:val="1700"/>
                          </w:trPr>
                          <w:tc>
                            <w:tcPr>
                              <w:tcW w:w="90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70"/>
                              </w:tblGrid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28.1. vertės visuomenei kūrimas – 4;</w:t>
                                    </w:r>
                                  </w:p>
                                </w:tc>
                              </w:tr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28.2. organizuotumas – 4;</w:t>
                                    </w:r>
                                  </w:p>
                                </w:tc>
                              </w:tr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28.3. patikimumas ir atsakingumas – 4;</w:t>
                                    </w:r>
                                  </w:p>
                                </w:tc>
                              </w:tr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28.4. analizė ir pagrindimas – 5;</w:t>
                                    </w:r>
                                  </w:p>
                                </w:tc>
                              </w:tr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28.5.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komunikacija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 – 4.</w:t>
                                    </w:r>
                                  </w:p>
                                </w:tc>
                              </w:tr>
                            </w:tbl>
                            <w:p w:rsidR="00C8653E" w:rsidRDefault="00C8653E" w:rsidP="00C8653E"/>
                          </w:tc>
                        </w:tr>
                        <w:tr w:rsidR="00C8653E" w:rsidTr="00C8653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8653E" w:rsidRDefault="00C8653E" w:rsidP="00C8653E">
                              <w:r>
                                <w:rPr>
                                  <w:color w:val="000000"/>
                                  <w:sz w:val="24"/>
                                </w:rPr>
                                <w:t>29. Specifinės kompetencijos ir jų pakankami lygiai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0</w:t>
                              </w:r>
                              <w:proofErr w:type="gramEnd"/>
                            </w:p>
                          </w:tc>
                        </w:tr>
                        <w:tr w:rsidR="00C8653E" w:rsidTr="00C8653E">
                          <w:trPr>
                            <w:trHeight w:val="680"/>
                          </w:trPr>
                          <w:tc>
                            <w:tcPr>
                              <w:tcW w:w="90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70"/>
                              </w:tblGrid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29.1. informacijos valdymas – 4;</w:t>
                                    </w:r>
                                  </w:p>
                                </w:tc>
                              </w:tr>
                              <w:tr w:rsidR="00C8653E" w:rsidTr="009B1909">
                                <w:trPr>
                                  <w:trHeight w:val="260"/>
                                </w:trPr>
                                <w:tc>
                                  <w:tcPr>
                                    <w:tcW w:w="9070" w:type="dxa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:rsidR="00C8653E" w:rsidRDefault="00C8653E" w:rsidP="00C8653E"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29.2.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kontrolės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 ir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priežiūros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proceso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 xml:space="preserve"> valdymas – 4.</w:t>
                                    </w:r>
                                  </w:p>
                                </w:tc>
                              </w:tr>
                            </w:tbl>
                            <w:p w:rsidR="00C8653E" w:rsidRDefault="00C8653E" w:rsidP="00C8653E"/>
                          </w:tc>
                        </w:tr>
                      </w:tbl>
                      <w:p w:rsidR="004C629B" w:rsidRDefault="004C629B"/>
                    </w:tc>
                  </w:tr>
                </w:tbl>
                <w:p w:rsidR="004C629B" w:rsidRDefault="004C629B"/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62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/>
        </w:tc>
      </w:tr>
      <w:tr w:rsidR="004C629B" w:rsidTr="00933BB6">
        <w:trPr>
          <w:gridAfter w:val="1"/>
          <w:wAfter w:w="14" w:type="dxa"/>
          <w:trHeight w:val="517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  <w:tr w:rsidR="00933BB6" w:rsidTr="00933BB6">
        <w:trPr>
          <w:gridAfter w:val="2"/>
          <w:wAfter w:w="20" w:type="dxa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C62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CF704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  <w:tr w:rsidR="004C629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C629B" w:rsidRDefault="004C629B"/>
              </w:tc>
            </w:tr>
          </w:tbl>
          <w:p w:rsidR="004C629B" w:rsidRDefault="004C629B"/>
        </w:tc>
      </w:tr>
      <w:tr w:rsidR="004C629B" w:rsidTr="00933BB6">
        <w:trPr>
          <w:gridAfter w:val="1"/>
          <w:wAfter w:w="14" w:type="dxa"/>
          <w:trHeight w:val="41"/>
        </w:trPr>
        <w:tc>
          <w:tcPr>
            <w:tcW w:w="20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12" w:type="dxa"/>
          </w:tcPr>
          <w:p w:rsidR="004C629B" w:rsidRDefault="004C629B">
            <w:pPr>
              <w:pStyle w:val="EmptyLayoutCell"/>
            </w:pPr>
          </w:p>
        </w:tc>
        <w:tc>
          <w:tcPr>
            <w:tcW w:w="9737" w:type="dxa"/>
            <w:gridSpan w:val="2"/>
          </w:tcPr>
          <w:p w:rsidR="004C629B" w:rsidRDefault="004C629B">
            <w:pPr>
              <w:pStyle w:val="EmptyLayoutCell"/>
            </w:pPr>
          </w:p>
        </w:tc>
        <w:tc>
          <w:tcPr>
            <w:tcW w:w="6" w:type="dxa"/>
          </w:tcPr>
          <w:p w:rsidR="004C629B" w:rsidRDefault="004C629B">
            <w:pPr>
              <w:pStyle w:val="EmptyLayoutCell"/>
            </w:pPr>
          </w:p>
        </w:tc>
      </w:tr>
    </w:tbl>
    <w:p w:rsidR="00CF7041" w:rsidRDefault="00CF7041"/>
    <w:sectPr w:rsidR="00CF7041" w:rsidSect="00995F46">
      <w:pgSz w:w="11905" w:h="16837"/>
      <w:pgMar w:top="1133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6"/>
    <w:rsid w:val="00015241"/>
    <w:rsid w:val="004C629B"/>
    <w:rsid w:val="00933BB6"/>
    <w:rsid w:val="00995F46"/>
    <w:rsid w:val="00C8653E"/>
    <w:rsid w:val="00C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6FB6-5C80-4A27-B1FA-636C60D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2021-02-04T17:53:00Z</dcterms:created>
  <dcterms:modified xsi:type="dcterms:W3CDTF">2021-02-11T11:26:00Z</dcterms:modified>
</cp:coreProperties>
</file>