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  <w:gridCol w:w="269"/>
        <w:gridCol w:w="13"/>
      </w:tblGrid>
      <w:tr w:rsidR="003C31C4" w14:paraId="59BEF683" w14:textId="77777777" w:rsidTr="00C00304">
        <w:trPr>
          <w:gridAfter w:val="2"/>
          <w:wAfter w:w="282" w:type="dxa"/>
        </w:trPr>
        <w:tc>
          <w:tcPr>
            <w:tcW w:w="9499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3C31C4" w14:paraId="59BEF66D" w14:textId="77777777" w:rsidTr="00C0030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6B" w14:textId="77777777" w:rsidR="00065D24" w:rsidRDefault="00065D24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6C" w14:textId="77777777" w:rsidR="00065D24" w:rsidRDefault="008D72C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00304" w14:paraId="59BEF670" w14:textId="77777777" w:rsidTr="00C0030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6E" w14:textId="77777777" w:rsidR="00C00304" w:rsidRDefault="00C00304" w:rsidP="00C00304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6F" w14:textId="77777777" w:rsidR="00C00304" w:rsidRDefault="00C00304" w:rsidP="00C00304"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C00304" w14:paraId="59BEF673" w14:textId="77777777" w:rsidTr="00C0030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1" w14:textId="77777777" w:rsidR="00C00304" w:rsidRDefault="00C00304" w:rsidP="00C00304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2" w14:textId="5B29DE16" w:rsidR="00C00304" w:rsidRPr="00881F55" w:rsidRDefault="00C00304" w:rsidP="00C0030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 w:rsidRPr="00881F55">
                    <w:rPr>
                      <w:sz w:val="24"/>
                      <w:szCs w:val="24"/>
                    </w:rPr>
                    <w:t>irektoriaus</w:t>
                  </w:r>
                  <w:proofErr w:type="spellEnd"/>
                  <w:r w:rsidRPr="00881F55">
                    <w:rPr>
                      <w:sz w:val="24"/>
                      <w:szCs w:val="24"/>
                    </w:rPr>
                    <w:t xml:space="preserve"> 2020 m. </w:t>
                  </w:r>
                  <w:proofErr w:type="spell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23E1C">
                    <w:rPr>
                      <w:sz w:val="24"/>
                      <w:szCs w:val="24"/>
                    </w:rPr>
                    <w:t>23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81F55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C00304" w14:paraId="59BEF676" w14:textId="77777777" w:rsidTr="00C00304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4" w14:textId="77777777" w:rsidR="00C00304" w:rsidRDefault="00C00304" w:rsidP="00C00304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5" w14:textId="659A4B39" w:rsidR="00C00304" w:rsidRPr="00881F55" w:rsidRDefault="00C00304" w:rsidP="00C0030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į</w:t>
                  </w:r>
                  <w:r w:rsidRPr="00881F55">
                    <w:rPr>
                      <w:color w:val="000000"/>
                      <w:sz w:val="24"/>
                      <w:szCs w:val="24"/>
                    </w:rPr>
                    <w:t>sakymu</w:t>
                  </w:r>
                  <w:proofErr w:type="spellEnd"/>
                  <w:r w:rsidRPr="00881F55">
                    <w:rPr>
                      <w:color w:val="000000"/>
                      <w:sz w:val="24"/>
                      <w:szCs w:val="24"/>
                    </w:rPr>
                    <w:t xml:space="preserve"> Nr. AP-</w:t>
                  </w:r>
                  <w:r w:rsidR="00323E1C">
                    <w:rPr>
                      <w:color w:val="000000"/>
                      <w:sz w:val="24"/>
                      <w:szCs w:val="24"/>
                    </w:rPr>
                    <w:t>709</w:t>
                  </w:r>
                </w:p>
              </w:tc>
            </w:tr>
            <w:tr w:rsidR="003C31C4" w14:paraId="59BEF678" w14:textId="77777777" w:rsidTr="00C0030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7" w14:textId="77777777" w:rsidR="00065D24" w:rsidRDefault="00065D24"/>
              </w:tc>
            </w:tr>
            <w:tr w:rsidR="003C31C4" w14:paraId="59BEF67A" w14:textId="77777777" w:rsidTr="00C0030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9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C31C4" w14:paraId="59BEF67C" w14:textId="77777777" w:rsidTr="00C0030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B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SAUGOS IR TEISĖTVARKOS SKYRIAUS</w:t>
                  </w:r>
                </w:p>
              </w:tc>
            </w:tr>
            <w:tr w:rsidR="003C31C4" w14:paraId="59BEF67E" w14:textId="77777777" w:rsidTr="00C0030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D" w14:textId="77777777" w:rsidR="00065D24" w:rsidRDefault="008D72C0" w:rsidP="00C93C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PATARĖJ</w:t>
                  </w:r>
                  <w:r w:rsidR="00C93CDC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3C31C4" w14:paraId="59BEF680" w14:textId="77777777" w:rsidTr="00C00304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7F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9BEF681" w14:textId="77777777" w:rsidR="00065D24" w:rsidRDefault="00065D24"/>
        </w:tc>
        <w:tc>
          <w:tcPr>
            <w:tcW w:w="13" w:type="dxa"/>
          </w:tcPr>
          <w:p w14:paraId="59BEF682" w14:textId="77777777" w:rsidR="00065D24" w:rsidRDefault="00065D24">
            <w:pPr>
              <w:pStyle w:val="EmptyLayoutCell"/>
            </w:pPr>
          </w:p>
        </w:tc>
      </w:tr>
      <w:tr w:rsidR="00065D24" w14:paraId="59BEF689" w14:textId="77777777" w:rsidTr="00C00304">
        <w:trPr>
          <w:gridAfter w:val="2"/>
          <w:wAfter w:w="282" w:type="dxa"/>
          <w:trHeight w:val="349"/>
        </w:trPr>
        <w:tc>
          <w:tcPr>
            <w:tcW w:w="20" w:type="dxa"/>
          </w:tcPr>
          <w:p w14:paraId="59BEF684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85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86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687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88" w14:textId="77777777" w:rsidR="00065D24" w:rsidRDefault="00065D24">
            <w:pPr>
              <w:pStyle w:val="EmptyLayoutCell"/>
            </w:pPr>
          </w:p>
        </w:tc>
      </w:tr>
      <w:tr w:rsidR="003C31C4" w14:paraId="59BEF693" w14:textId="77777777" w:rsidTr="00C00304">
        <w:trPr>
          <w:gridAfter w:val="2"/>
          <w:wAfter w:w="282" w:type="dxa"/>
        </w:trPr>
        <w:tc>
          <w:tcPr>
            <w:tcW w:w="20" w:type="dxa"/>
          </w:tcPr>
          <w:p w14:paraId="59BEF68A" w14:textId="77777777" w:rsidR="00065D24" w:rsidRDefault="00065D24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65D24" w14:paraId="59BEF68D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8B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9BEF68C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65D24" w14:paraId="59BEF6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8E" w14:textId="77777777" w:rsidR="00065D24" w:rsidRDefault="008D72C0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patarėjas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(VIII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065D24" w14:paraId="59BEF6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90" w14:textId="77777777" w:rsidR="00065D24" w:rsidRDefault="008D72C0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9BEF692" w14:textId="77777777" w:rsidR="00065D24" w:rsidRDefault="00065D24"/>
        </w:tc>
      </w:tr>
      <w:tr w:rsidR="00065D24" w14:paraId="59BEF699" w14:textId="77777777" w:rsidTr="00C00304">
        <w:trPr>
          <w:gridAfter w:val="2"/>
          <w:wAfter w:w="282" w:type="dxa"/>
          <w:trHeight w:val="120"/>
        </w:trPr>
        <w:tc>
          <w:tcPr>
            <w:tcW w:w="20" w:type="dxa"/>
          </w:tcPr>
          <w:p w14:paraId="59BEF694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95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96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697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98" w14:textId="77777777" w:rsidR="00065D24" w:rsidRDefault="00065D24">
            <w:pPr>
              <w:pStyle w:val="EmptyLayoutCell"/>
            </w:pPr>
          </w:p>
        </w:tc>
      </w:tr>
      <w:tr w:rsidR="003C31C4" w14:paraId="59BEF6A3" w14:textId="77777777" w:rsidTr="00C00304">
        <w:trPr>
          <w:gridAfter w:val="2"/>
          <w:wAfter w:w="282" w:type="dxa"/>
        </w:trPr>
        <w:tc>
          <w:tcPr>
            <w:tcW w:w="20" w:type="dxa"/>
          </w:tcPr>
          <w:p w14:paraId="59BEF69A" w14:textId="77777777" w:rsidR="00065D24" w:rsidRDefault="00065D24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65D24" w14:paraId="59BEF69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9B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9BEF69C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65D24" w14:paraId="59BEF6A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65D24" w14:paraId="59BEF69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69E" w14:textId="77777777" w:rsidR="00065D24" w:rsidRDefault="008D72C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9BEF6A0" w14:textId="77777777" w:rsidR="00065D24" w:rsidRDefault="00065D24"/>
              </w:tc>
            </w:tr>
          </w:tbl>
          <w:p w14:paraId="59BEF6A2" w14:textId="77777777" w:rsidR="00065D24" w:rsidRDefault="00065D24"/>
        </w:tc>
      </w:tr>
      <w:tr w:rsidR="00065D24" w14:paraId="59BEF6A9" w14:textId="77777777" w:rsidTr="00C00304">
        <w:trPr>
          <w:gridAfter w:val="2"/>
          <w:wAfter w:w="282" w:type="dxa"/>
          <w:trHeight w:val="126"/>
        </w:trPr>
        <w:tc>
          <w:tcPr>
            <w:tcW w:w="20" w:type="dxa"/>
          </w:tcPr>
          <w:p w14:paraId="59BEF6A4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A5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A6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6A7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A8" w14:textId="77777777" w:rsidR="00065D24" w:rsidRDefault="00065D24">
            <w:pPr>
              <w:pStyle w:val="EmptyLayoutCell"/>
            </w:pPr>
          </w:p>
        </w:tc>
      </w:tr>
      <w:tr w:rsidR="003C31C4" w14:paraId="59BEF6B3" w14:textId="77777777" w:rsidTr="00C00304">
        <w:trPr>
          <w:gridAfter w:val="2"/>
          <w:wAfter w:w="282" w:type="dxa"/>
        </w:trPr>
        <w:tc>
          <w:tcPr>
            <w:tcW w:w="20" w:type="dxa"/>
          </w:tcPr>
          <w:p w14:paraId="59BEF6AA" w14:textId="77777777" w:rsidR="00065D24" w:rsidRDefault="00065D24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065D24" w14:paraId="59BEF6A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AB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59BEF6AC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65D24" w14:paraId="59BEF6B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065D24" w14:paraId="59BEF6AF" w14:textId="77777777" w:rsidTr="00C00304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6AE" w14:textId="77777777" w:rsidR="00065D24" w:rsidRDefault="008D72C0" w:rsidP="00C93CDC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4.</w:t>
                        </w:r>
                        <w:r w:rsidR="00C93CD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C93CDC"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 w:rsidR="00C93CD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C93CDC">
                          <w:rPr>
                            <w:color w:val="000000"/>
                            <w:sz w:val="24"/>
                          </w:rPr>
                          <w:t>civilinės</w:t>
                        </w:r>
                        <w:proofErr w:type="spellEnd"/>
                        <w:r w:rsidR="00C93CD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C93CDC">
                          <w:rPr>
                            <w:color w:val="000000"/>
                            <w:sz w:val="24"/>
                          </w:rPr>
                          <w:t>saugos</w:t>
                        </w:r>
                        <w:proofErr w:type="spellEnd"/>
                        <w:r w:rsidR="00C93CDC">
                          <w:rPr>
                            <w:color w:val="000000"/>
                            <w:sz w:val="24"/>
                          </w:rPr>
                          <w:t>,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mobilizacijos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demobilizacijos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priimančiosios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šalies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paramos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Skyriaus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kompetencijai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 xml:space="preserve">LR 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nusižengimų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kodekse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nustatytų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pažeidimų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9BEF6B0" w14:textId="77777777" w:rsidR="00065D24" w:rsidRDefault="00065D24"/>
              </w:tc>
            </w:tr>
          </w:tbl>
          <w:p w14:paraId="59BEF6B2" w14:textId="77777777" w:rsidR="00065D24" w:rsidRDefault="00065D24"/>
        </w:tc>
      </w:tr>
      <w:tr w:rsidR="00065D24" w14:paraId="59BEF6B9" w14:textId="77777777" w:rsidTr="00C00304">
        <w:trPr>
          <w:gridAfter w:val="2"/>
          <w:wAfter w:w="282" w:type="dxa"/>
          <w:trHeight w:val="100"/>
        </w:trPr>
        <w:tc>
          <w:tcPr>
            <w:tcW w:w="20" w:type="dxa"/>
          </w:tcPr>
          <w:p w14:paraId="59BEF6B4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B5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B6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6B7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B8" w14:textId="77777777" w:rsidR="00065D24" w:rsidRDefault="00065D24">
            <w:pPr>
              <w:pStyle w:val="EmptyLayoutCell"/>
            </w:pPr>
          </w:p>
        </w:tc>
      </w:tr>
      <w:tr w:rsidR="003C31C4" w14:paraId="59BEF6C0" w14:textId="77777777" w:rsidTr="00C00304">
        <w:trPr>
          <w:gridAfter w:val="2"/>
          <w:wAfter w:w="282" w:type="dxa"/>
        </w:trPr>
        <w:tc>
          <w:tcPr>
            <w:tcW w:w="20" w:type="dxa"/>
          </w:tcPr>
          <w:p w14:paraId="59BEF6BA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BB" w14:textId="77777777" w:rsidR="00065D24" w:rsidRDefault="00065D24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65D24" w14:paraId="59BEF6B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BC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59BEF6BD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9BEF6BF" w14:textId="77777777" w:rsidR="00065D24" w:rsidRDefault="00065D24"/>
        </w:tc>
      </w:tr>
      <w:tr w:rsidR="00065D24" w14:paraId="59BEF6C6" w14:textId="77777777" w:rsidTr="00C00304">
        <w:trPr>
          <w:gridAfter w:val="2"/>
          <w:wAfter w:w="282" w:type="dxa"/>
          <w:trHeight w:val="39"/>
        </w:trPr>
        <w:tc>
          <w:tcPr>
            <w:tcW w:w="20" w:type="dxa"/>
          </w:tcPr>
          <w:p w14:paraId="59BEF6C1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C2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C3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6C4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C5" w14:textId="77777777" w:rsidR="00065D24" w:rsidRDefault="00065D24">
            <w:pPr>
              <w:pStyle w:val="EmptyLayoutCell"/>
            </w:pPr>
          </w:p>
        </w:tc>
      </w:tr>
      <w:tr w:rsidR="003C31C4" w14:paraId="59BEF6D9" w14:textId="77777777" w:rsidTr="00C00304">
        <w:trPr>
          <w:gridAfter w:val="2"/>
          <w:wAfter w:w="282" w:type="dxa"/>
        </w:trPr>
        <w:tc>
          <w:tcPr>
            <w:tcW w:w="20" w:type="dxa"/>
          </w:tcPr>
          <w:p w14:paraId="59BEF6C7" w14:textId="77777777" w:rsidR="00065D24" w:rsidRDefault="00065D24">
            <w:pPr>
              <w:pStyle w:val="EmptyLayoutCell"/>
            </w:pPr>
          </w:p>
        </w:tc>
        <w:tc>
          <w:tcPr>
            <w:tcW w:w="949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65D24" w14:paraId="59BEF6C9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C8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CB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CA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CD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CC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CF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CE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D1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D0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D3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D2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D5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D4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D7" w14:textId="77777777" w:rsidTr="00C00304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D6" w14:textId="77777777" w:rsidR="00065D24" w:rsidRDefault="008D72C0" w:rsidP="00C00304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9BEF6D8" w14:textId="77777777" w:rsidR="00065D24" w:rsidRDefault="00065D24"/>
        </w:tc>
      </w:tr>
      <w:tr w:rsidR="00065D24" w14:paraId="59BEF6DF" w14:textId="77777777" w:rsidTr="00C00304">
        <w:trPr>
          <w:gridAfter w:val="2"/>
          <w:wAfter w:w="282" w:type="dxa"/>
          <w:trHeight w:val="20"/>
        </w:trPr>
        <w:tc>
          <w:tcPr>
            <w:tcW w:w="20" w:type="dxa"/>
          </w:tcPr>
          <w:p w14:paraId="59BEF6DA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DB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DC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6DD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DE" w14:textId="77777777" w:rsidR="00065D24" w:rsidRDefault="00065D24">
            <w:pPr>
              <w:pStyle w:val="EmptyLayoutCell"/>
            </w:pPr>
          </w:p>
        </w:tc>
      </w:tr>
      <w:tr w:rsidR="003C31C4" w14:paraId="59BEF6EE" w14:textId="77777777" w:rsidTr="00C00304">
        <w:trPr>
          <w:gridAfter w:val="1"/>
          <w:wAfter w:w="13" w:type="dxa"/>
        </w:trPr>
        <w:tc>
          <w:tcPr>
            <w:tcW w:w="20" w:type="dxa"/>
          </w:tcPr>
          <w:p w14:paraId="59BEF6E0" w14:textId="77777777" w:rsidR="00065D24" w:rsidRDefault="00065D24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65D24" w14:paraId="59BEF6E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E1" w14:textId="77777777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mobilizaciją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demobilizaciją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priimančiosios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E3" w14:textId="77777777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Pradeda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E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E5" w14:textId="77777777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laikomasi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draudimų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gavus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pradėti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nutarimą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baudas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pranešimo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nutraukti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terminais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E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E7" w14:textId="77777777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laikomasi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švaros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Želdynų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želdinių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nenaudojamus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Nenaudojamų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E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E9" w14:textId="77777777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nusikaltimų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65D24" w14:paraId="59BEF6E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EB" w14:textId="77777777" w:rsidR="00065D24" w:rsidRDefault="00C93CDC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vedėją</w:t>
                  </w:r>
                  <w:proofErr w:type="spellEnd"/>
                  <w:r w:rsidR="008D72C0"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 w:rsidR="008D72C0">
                    <w:rPr>
                      <w:color w:val="000000"/>
                      <w:sz w:val="24"/>
                    </w:rPr>
                    <w:t>nesant</w:t>
                  </w:r>
                  <w:proofErr w:type="spellEnd"/>
                  <w:r w:rsidR="008D72C0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9BEF6ED" w14:textId="77777777" w:rsidR="00065D24" w:rsidRDefault="00065D24" w:rsidP="00C93CDC">
            <w:pPr>
              <w:jc w:val="both"/>
            </w:pPr>
          </w:p>
        </w:tc>
      </w:tr>
      <w:tr w:rsidR="00065D24" w14:paraId="59BEF6F4" w14:textId="77777777" w:rsidTr="00C00304">
        <w:trPr>
          <w:trHeight w:val="20"/>
        </w:trPr>
        <w:tc>
          <w:tcPr>
            <w:tcW w:w="20" w:type="dxa"/>
          </w:tcPr>
          <w:p w14:paraId="59BEF6EF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F0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9BEF6F1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9735" w:type="dxa"/>
            <w:gridSpan w:val="3"/>
          </w:tcPr>
          <w:p w14:paraId="59BEF6F2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9BEF6F3" w14:textId="77777777" w:rsidR="00065D24" w:rsidRDefault="00065D24">
            <w:pPr>
              <w:pStyle w:val="EmptyLayoutCell"/>
            </w:pPr>
          </w:p>
        </w:tc>
      </w:tr>
      <w:tr w:rsidR="003C31C4" w14:paraId="59BEF6F9" w14:textId="77777777" w:rsidTr="00C00304">
        <w:trPr>
          <w:gridAfter w:val="1"/>
          <w:wAfter w:w="13" w:type="dxa"/>
        </w:trPr>
        <w:tc>
          <w:tcPr>
            <w:tcW w:w="20" w:type="dxa"/>
          </w:tcPr>
          <w:p w14:paraId="59BEF6F5" w14:textId="77777777" w:rsidR="00065D24" w:rsidRDefault="00065D24">
            <w:pPr>
              <w:pStyle w:val="EmptyLayoutCell"/>
            </w:pPr>
          </w:p>
        </w:tc>
        <w:tc>
          <w:tcPr>
            <w:tcW w:w="9761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65D24" w14:paraId="59BEF6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6F6" w14:textId="77777777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59BEF6F8" w14:textId="77777777" w:rsidR="00065D24" w:rsidRDefault="00065D24" w:rsidP="00C93CDC">
            <w:pPr>
              <w:jc w:val="both"/>
            </w:pPr>
          </w:p>
        </w:tc>
      </w:tr>
      <w:tr w:rsidR="00065D24" w14:paraId="59BEF6FF" w14:textId="77777777" w:rsidTr="00C00304">
        <w:trPr>
          <w:gridAfter w:val="2"/>
          <w:wAfter w:w="282" w:type="dxa"/>
          <w:trHeight w:val="139"/>
        </w:trPr>
        <w:tc>
          <w:tcPr>
            <w:tcW w:w="20" w:type="dxa"/>
          </w:tcPr>
          <w:p w14:paraId="59BEF6FA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6FB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9BEF6FC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9453" w:type="dxa"/>
          </w:tcPr>
          <w:p w14:paraId="59BEF6FD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9BEF6FE" w14:textId="77777777" w:rsidR="00065D24" w:rsidRDefault="00065D24" w:rsidP="00C93CDC">
            <w:pPr>
              <w:pStyle w:val="EmptyLayoutCell"/>
              <w:jc w:val="both"/>
            </w:pPr>
          </w:p>
        </w:tc>
      </w:tr>
      <w:tr w:rsidR="003C31C4" w14:paraId="59BEF72B" w14:textId="77777777" w:rsidTr="00C00304">
        <w:trPr>
          <w:gridAfter w:val="1"/>
          <w:wAfter w:w="13" w:type="dxa"/>
        </w:trPr>
        <w:tc>
          <w:tcPr>
            <w:tcW w:w="20" w:type="dxa"/>
          </w:tcPr>
          <w:p w14:paraId="59BEF700" w14:textId="77777777" w:rsidR="00065D24" w:rsidRDefault="00065D24" w:rsidP="00C00304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9BEF701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9BEF702" w14:textId="77777777" w:rsidR="00065D24" w:rsidRDefault="00065D24" w:rsidP="00C93CDC">
            <w:pPr>
              <w:pStyle w:val="EmptyLayoutCell"/>
              <w:jc w:val="both"/>
            </w:pPr>
          </w:p>
        </w:tc>
        <w:tc>
          <w:tcPr>
            <w:tcW w:w="973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65D24" w14:paraId="59BEF70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03" w14:textId="77777777" w:rsidR="00065D24" w:rsidRDefault="008D72C0" w:rsidP="00C93C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9BEF704" w14:textId="77777777" w:rsidR="00065D24" w:rsidRDefault="008D72C0" w:rsidP="00C93CD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65D24" w14:paraId="59BEF70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06" w14:textId="77777777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65D24" w14:paraId="59BEF71D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65D24" w14:paraId="59BEF713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65D24" w14:paraId="59BEF70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08" w14:textId="77777777" w:rsidR="00065D24" w:rsidRDefault="008D72C0" w:rsidP="00C93C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065D24" w14:paraId="59BEF70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0A" w14:textId="77777777" w:rsidR="00065D24" w:rsidRDefault="008D72C0" w:rsidP="00C93C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65D24" w14:paraId="59BEF70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0C" w14:textId="77777777" w:rsidR="00065D24" w:rsidRDefault="008D72C0" w:rsidP="00C93C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65D24" w14:paraId="59BEF70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0E" w14:textId="77777777" w:rsidR="00065D24" w:rsidRDefault="008D72C0" w:rsidP="00C93C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filologija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pagal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diplome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nurodant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konkrečią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65D24" w14:paraId="59BEF71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10" w14:textId="77777777" w:rsidR="00065D24" w:rsidRDefault="008D72C0" w:rsidP="00C93CDC">
                              <w:pPr>
                                <w:jc w:val="both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59BEF712" w14:textId="77777777" w:rsidR="00065D24" w:rsidRDefault="00065D24" w:rsidP="00C93CDC">
                        <w:pPr>
                          <w:jc w:val="both"/>
                        </w:pPr>
                      </w:p>
                    </w:tc>
                  </w:tr>
                  <w:tr w:rsidR="00065D24" w14:paraId="59BEF71B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65D24" w14:paraId="59BEF71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14" w14:textId="77777777" w:rsidR="00065D24" w:rsidRDefault="008D72C0" w:rsidP="00C93C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065D24" w14:paraId="59BEF71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16" w14:textId="77777777" w:rsidR="00065D24" w:rsidRDefault="008D72C0" w:rsidP="00C93C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administracinio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65D24" w14:paraId="59BEF71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BEF718" w14:textId="77777777" w:rsidR="00065D24" w:rsidRDefault="008D72C0" w:rsidP="00C93CD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59BEF71A" w14:textId="77777777" w:rsidR="00065D24" w:rsidRDefault="00065D24" w:rsidP="00C93CDC">
                        <w:pPr>
                          <w:jc w:val="both"/>
                        </w:pPr>
                      </w:p>
                    </w:tc>
                  </w:tr>
                </w:tbl>
                <w:p w14:paraId="59BEF71C" w14:textId="77777777" w:rsidR="00065D24" w:rsidRDefault="00065D24" w:rsidP="00C93CDC">
                  <w:pPr>
                    <w:jc w:val="both"/>
                  </w:pPr>
                </w:p>
              </w:tc>
            </w:tr>
            <w:tr w:rsidR="00065D24" w14:paraId="59BEF72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24" w14:textId="3AE07A1E" w:rsidR="00065D24" w:rsidRDefault="008D72C0" w:rsidP="00C93CD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841DB0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Transporto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65D24" w14:paraId="59BEF72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65D24" w14:paraId="59BEF7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26" w14:textId="7F957248" w:rsidR="00065D24" w:rsidRDefault="008D72C0" w:rsidP="00C93CDC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vairuotojo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pažymėjimą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(B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kategorija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).</w:t>
                        </w:r>
                      </w:p>
                    </w:tc>
                  </w:tr>
                </w:tbl>
                <w:p w14:paraId="59BEF728" w14:textId="77777777" w:rsidR="00065D24" w:rsidRDefault="00065D24" w:rsidP="00C93CDC">
                  <w:pPr>
                    <w:jc w:val="both"/>
                  </w:pPr>
                </w:p>
              </w:tc>
            </w:tr>
          </w:tbl>
          <w:p w14:paraId="59BEF72A" w14:textId="77777777" w:rsidR="00065D24" w:rsidRDefault="00065D24" w:rsidP="00C93CDC">
            <w:pPr>
              <w:jc w:val="both"/>
            </w:pPr>
          </w:p>
        </w:tc>
      </w:tr>
      <w:tr w:rsidR="00065D24" w14:paraId="59BEF731" w14:textId="77777777" w:rsidTr="00C00304">
        <w:trPr>
          <w:gridAfter w:val="2"/>
          <w:wAfter w:w="282" w:type="dxa"/>
          <w:trHeight w:val="62"/>
        </w:trPr>
        <w:tc>
          <w:tcPr>
            <w:tcW w:w="20" w:type="dxa"/>
          </w:tcPr>
          <w:p w14:paraId="59BEF72C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2D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2E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72F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30" w14:textId="77777777" w:rsidR="00065D24" w:rsidRDefault="00065D24">
            <w:pPr>
              <w:pStyle w:val="EmptyLayoutCell"/>
            </w:pPr>
          </w:p>
        </w:tc>
      </w:tr>
      <w:tr w:rsidR="003C31C4" w14:paraId="59BEF755" w14:textId="77777777" w:rsidTr="00C00304">
        <w:trPr>
          <w:gridAfter w:val="2"/>
          <w:wAfter w:w="282" w:type="dxa"/>
        </w:trPr>
        <w:tc>
          <w:tcPr>
            <w:tcW w:w="20" w:type="dxa"/>
          </w:tcPr>
          <w:p w14:paraId="59BEF732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33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34" w14:textId="77777777" w:rsidR="00065D24" w:rsidRDefault="00065D24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65D24" w14:paraId="59BEF73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35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59BEF736" w14:textId="77777777" w:rsidR="00065D24" w:rsidRDefault="008D72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65D24" w14:paraId="59BEF73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38" w14:textId="0C2CC8B9" w:rsidR="00065D24" w:rsidRDefault="008D72C0">
                  <w:r>
                    <w:rPr>
                      <w:color w:val="000000"/>
                      <w:sz w:val="24"/>
                    </w:rPr>
                    <w:t>2</w:t>
                  </w:r>
                  <w:r w:rsidR="00841DB0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65D24" w14:paraId="59BEF745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65D24" w14:paraId="59BEF73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3A" w14:textId="5202547A" w:rsidR="00065D24" w:rsidRDefault="008D72C0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065D24" w14:paraId="59BEF73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3C" w14:textId="5AD934FD" w:rsidR="00065D24" w:rsidRDefault="008D72C0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5;</w:t>
                        </w:r>
                      </w:p>
                    </w:tc>
                  </w:tr>
                  <w:tr w:rsidR="00065D24" w14:paraId="59BEF73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3E" w14:textId="051AB8A7" w:rsidR="00065D24" w:rsidRDefault="008D72C0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065D24" w14:paraId="59BEF74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40" w14:textId="16E1B3D9" w:rsidR="00065D24" w:rsidRDefault="008D72C0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065D24" w14:paraId="59BEF74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42" w14:textId="561B8C68" w:rsidR="00065D24" w:rsidRDefault="008D72C0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59BEF744" w14:textId="77777777" w:rsidR="00065D24" w:rsidRDefault="00065D24"/>
              </w:tc>
            </w:tr>
            <w:tr w:rsidR="00065D24" w14:paraId="59BEF7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46" w14:textId="12156E44" w:rsidR="00065D24" w:rsidRDefault="008D72C0">
                  <w:r>
                    <w:rPr>
                      <w:color w:val="000000"/>
                      <w:sz w:val="24"/>
                    </w:rPr>
                    <w:t>2</w:t>
                  </w:r>
                  <w:r w:rsidR="00841DB0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65D24" w14:paraId="59BEF74D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65D24" w14:paraId="59BEF74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48" w14:textId="702BDE09" w:rsidR="00065D24" w:rsidRDefault="008D72C0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065D24" w14:paraId="59BEF74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4A" w14:textId="24677ECC" w:rsidR="00065D24" w:rsidRDefault="008D72C0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59BEF74C" w14:textId="77777777" w:rsidR="00065D24" w:rsidRDefault="00065D24"/>
              </w:tc>
            </w:tr>
            <w:tr w:rsidR="00065D24" w14:paraId="59BEF74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4E" w14:textId="68160BFF" w:rsidR="00065D24" w:rsidRDefault="008D72C0">
                  <w:r>
                    <w:rPr>
                      <w:color w:val="000000"/>
                      <w:sz w:val="24"/>
                    </w:rPr>
                    <w:t>2</w:t>
                  </w:r>
                  <w:r w:rsidR="00841DB0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65D24" w14:paraId="59BEF75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65D24" w14:paraId="59BEF75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BEF750" w14:textId="460C2666" w:rsidR="00065D24" w:rsidRDefault="008D72C0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41DB0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59BEF752" w14:textId="77777777" w:rsidR="00065D24" w:rsidRDefault="00065D24"/>
              </w:tc>
            </w:tr>
          </w:tbl>
          <w:p w14:paraId="59BEF754" w14:textId="77777777" w:rsidR="00065D24" w:rsidRDefault="00065D24"/>
        </w:tc>
      </w:tr>
      <w:tr w:rsidR="00065D24" w14:paraId="59BEF75B" w14:textId="77777777" w:rsidTr="00C00304">
        <w:trPr>
          <w:gridAfter w:val="2"/>
          <w:wAfter w:w="282" w:type="dxa"/>
          <w:trHeight w:val="517"/>
        </w:trPr>
        <w:tc>
          <w:tcPr>
            <w:tcW w:w="20" w:type="dxa"/>
          </w:tcPr>
          <w:p w14:paraId="59BEF756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57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58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759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5A" w14:textId="77777777" w:rsidR="00065D24" w:rsidRDefault="00065D24">
            <w:pPr>
              <w:pStyle w:val="EmptyLayoutCell"/>
            </w:pPr>
          </w:p>
        </w:tc>
      </w:tr>
      <w:tr w:rsidR="003C31C4" w14:paraId="59BEF778" w14:textId="77777777" w:rsidTr="00C00304">
        <w:trPr>
          <w:gridAfter w:val="2"/>
          <w:wAfter w:w="282" w:type="dxa"/>
        </w:trPr>
        <w:tc>
          <w:tcPr>
            <w:tcW w:w="20" w:type="dxa"/>
          </w:tcPr>
          <w:p w14:paraId="59BEF75C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5D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5E" w14:textId="77777777" w:rsidR="00065D24" w:rsidRDefault="00065D24">
            <w:pPr>
              <w:pStyle w:val="EmptyLayoutCell"/>
            </w:pPr>
          </w:p>
        </w:tc>
        <w:tc>
          <w:tcPr>
            <w:tcW w:w="94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65D24" w14:paraId="59BEF76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5F" w14:textId="77777777" w:rsidR="00065D24" w:rsidRDefault="008D72C0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0" w14:textId="77777777" w:rsidR="00065D24" w:rsidRDefault="00065D24"/>
              </w:tc>
            </w:tr>
            <w:tr w:rsidR="00065D24" w14:paraId="59BEF76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2" w14:textId="77777777" w:rsidR="00065D24" w:rsidRDefault="00065D2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3" w14:textId="77777777" w:rsidR="00065D24" w:rsidRDefault="00065D24"/>
              </w:tc>
            </w:tr>
            <w:tr w:rsidR="00065D24" w14:paraId="59BEF76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5" w14:textId="77777777" w:rsidR="00065D24" w:rsidRDefault="008D72C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6" w14:textId="77777777" w:rsidR="00065D24" w:rsidRDefault="00065D24"/>
              </w:tc>
            </w:tr>
            <w:tr w:rsidR="00065D24" w14:paraId="59BEF76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8" w14:textId="77777777" w:rsidR="00065D24" w:rsidRDefault="00065D2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9" w14:textId="77777777" w:rsidR="00065D24" w:rsidRDefault="00065D24"/>
              </w:tc>
            </w:tr>
            <w:tr w:rsidR="00065D24" w14:paraId="59BEF76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B" w14:textId="77777777" w:rsidR="00065D24" w:rsidRDefault="008D72C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C" w14:textId="77777777" w:rsidR="00065D24" w:rsidRDefault="00065D24"/>
              </w:tc>
            </w:tr>
            <w:tr w:rsidR="00065D24" w14:paraId="59BEF77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E" w14:textId="77777777" w:rsidR="00065D24" w:rsidRDefault="00065D2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6F" w14:textId="77777777" w:rsidR="00065D24" w:rsidRDefault="00065D24"/>
              </w:tc>
            </w:tr>
            <w:tr w:rsidR="00065D24" w14:paraId="59BEF77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71" w14:textId="77777777" w:rsidR="00065D24" w:rsidRDefault="008D72C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72" w14:textId="77777777" w:rsidR="00065D24" w:rsidRDefault="00065D24"/>
              </w:tc>
            </w:tr>
            <w:tr w:rsidR="00065D24" w14:paraId="59BEF77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74" w14:textId="77777777" w:rsidR="00065D24" w:rsidRDefault="00065D2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F775" w14:textId="77777777" w:rsidR="00065D24" w:rsidRDefault="00065D24"/>
              </w:tc>
            </w:tr>
          </w:tbl>
          <w:p w14:paraId="59BEF777" w14:textId="77777777" w:rsidR="00065D24" w:rsidRDefault="00065D24"/>
        </w:tc>
      </w:tr>
      <w:tr w:rsidR="00065D24" w14:paraId="59BEF77E" w14:textId="77777777" w:rsidTr="00C00304">
        <w:trPr>
          <w:gridAfter w:val="2"/>
          <w:wAfter w:w="282" w:type="dxa"/>
          <w:trHeight w:val="41"/>
        </w:trPr>
        <w:tc>
          <w:tcPr>
            <w:tcW w:w="20" w:type="dxa"/>
          </w:tcPr>
          <w:p w14:paraId="59BEF779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7A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7B" w14:textId="77777777" w:rsidR="00065D24" w:rsidRDefault="00065D24">
            <w:pPr>
              <w:pStyle w:val="EmptyLayoutCell"/>
            </w:pPr>
          </w:p>
        </w:tc>
        <w:tc>
          <w:tcPr>
            <w:tcW w:w="9453" w:type="dxa"/>
          </w:tcPr>
          <w:p w14:paraId="59BEF77C" w14:textId="77777777" w:rsidR="00065D24" w:rsidRDefault="00065D24">
            <w:pPr>
              <w:pStyle w:val="EmptyLayoutCell"/>
            </w:pPr>
          </w:p>
        </w:tc>
        <w:tc>
          <w:tcPr>
            <w:tcW w:w="13" w:type="dxa"/>
          </w:tcPr>
          <w:p w14:paraId="59BEF77D" w14:textId="77777777" w:rsidR="00065D24" w:rsidRDefault="00065D24">
            <w:pPr>
              <w:pStyle w:val="EmptyLayoutCell"/>
            </w:pPr>
          </w:p>
        </w:tc>
      </w:tr>
    </w:tbl>
    <w:p w14:paraId="59BEF77F" w14:textId="77777777" w:rsidR="008D72C0" w:rsidRDefault="008D72C0"/>
    <w:sectPr w:rsidR="008D72C0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C4"/>
    <w:rsid w:val="00065D24"/>
    <w:rsid w:val="00323E1C"/>
    <w:rsid w:val="003C31C4"/>
    <w:rsid w:val="00841DB0"/>
    <w:rsid w:val="00854290"/>
    <w:rsid w:val="008D72C0"/>
    <w:rsid w:val="00C00304"/>
    <w:rsid w:val="00C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F66B"/>
  <w15:chartTrackingRefBased/>
  <w15:docId w15:val="{FFE3325C-389F-4B71-B691-4937570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3191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Miglė Barzelienė</cp:lastModifiedBy>
  <cp:revision>2</cp:revision>
  <dcterms:created xsi:type="dcterms:W3CDTF">2020-12-31T06:36:00Z</dcterms:created>
  <dcterms:modified xsi:type="dcterms:W3CDTF">2020-12-31T06:36:00Z</dcterms:modified>
</cp:coreProperties>
</file>