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20"/>
        <w:gridCol w:w="20"/>
        <w:gridCol w:w="9306"/>
        <w:gridCol w:w="20"/>
        <w:gridCol w:w="110"/>
        <w:gridCol w:w="20"/>
      </w:tblGrid>
      <w:tr w:rsidR="00866AD3" w:rsidTr="00CA6AF6">
        <w:trPr>
          <w:gridAfter w:val="2"/>
          <w:wAfter w:w="130" w:type="dxa"/>
        </w:trPr>
        <w:tc>
          <w:tcPr>
            <w:tcW w:w="9368" w:type="dxa"/>
            <w:gridSpan w:val="4"/>
          </w:tcPr>
          <w:tbl>
            <w:tblPr>
              <w:tblW w:w="963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  <w:gridCol w:w="570"/>
            </w:tblGrid>
            <w:tr w:rsidR="00866AD3" w:rsidTr="00CA6AF6">
              <w:trPr>
                <w:gridAfter w:val="1"/>
                <w:wAfter w:w="570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2177D4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CA6AF6" w:rsidTr="00CA6AF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A6AF6" w:rsidRDefault="00CA6AF6" w:rsidP="00CA6AF6"/>
              </w:tc>
              <w:tc>
                <w:tcPr>
                  <w:tcW w:w="454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A6AF6" w:rsidRDefault="00CA6AF6" w:rsidP="00CA6AF6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CA6AF6" w:rsidTr="00CA6AF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A6AF6" w:rsidRDefault="00CA6AF6" w:rsidP="00CA6AF6"/>
              </w:tc>
              <w:tc>
                <w:tcPr>
                  <w:tcW w:w="454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A6AF6" w:rsidRPr="004E5EDE" w:rsidRDefault="00CA6AF6" w:rsidP="0085118A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E5EDE">
                    <w:rPr>
                      <w:sz w:val="24"/>
                      <w:szCs w:val="24"/>
                    </w:rPr>
                    <w:t xml:space="preserve"> m. </w:t>
                  </w:r>
                  <w:r>
                    <w:rPr>
                      <w:sz w:val="24"/>
                      <w:szCs w:val="24"/>
                    </w:rPr>
                    <w:t xml:space="preserve">kovo  </w:t>
                  </w:r>
                  <w:r w:rsidR="0085118A">
                    <w:rPr>
                      <w:sz w:val="24"/>
                      <w:szCs w:val="24"/>
                    </w:rPr>
                    <w:t>15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4E5EDE">
                    <w:rPr>
                      <w:sz w:val="24"/>
                      <w:szCs w:val="24"/>
                    </w:rPr>
                    <w:t>d.</w:t>
                  </w:r>
                </w:p>
              </w:tc>
            </w:tr>
            <w:tr w:rsidR="00CA6AF6" w:rsidTr="00CA6AF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A6AF6" w:rsidRDefault="00CA6AF6" w:rsidP="00CA6AF6"/>
              </w:tc>
              <w:tc>
                <w:tcPr>
                  <w:tcW w:w="454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A6AF6" w:rsidRPr="004E5EDE" w:rsidRDefault="00CA6AF6" w:rsidP="00CA6AF6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color w:val="000000"/>
                      <w:sz w:val="24"/>
                      <w:szCs w:val="24"/>
                    </w:rPr>
                    <w:t xml:space="preserve">įsakymu Nr. AP - </w:t>
                  </w:r>
                  <w:r w:rsidR="0085118A">
                    <w:rPr>
                      <w:color w:val="000000"/>
                      <w:sz w:val="24"/>
                      <w:szCs w:val="24"/>
                    </w:rPr>
                    <w:t>500</w:t>
                  </w:r>
                  <w:bookmarkStart w:id="0" w:name="_GoBack"/>
                  <w:bookmarkEnd w:id="0"/>
                </w:p>
              </w:tc>
            </w:tr>
            <w:tr w:rsidR="00866AD3" w:rsidTr="00CA6AF6">
              <w:trPr>
                <w:gridAfter w:val="1"/>
                <w:wAfter w:w="570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2177D4"/>
              </w:tc>
            </w:tr>
            <w:tr w:rsidR="00866AD3" w:rsidTr="00CA6AF6">
              <w:trPr>
                <w:gridAfter w:val="1"/>
                <w:wAfter w:w="570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866AD3" w:rsidTr="00CA6AF6">
              <w:trPr>
                <w:gridAfter w:val="1"/>
                <w:wAfter w:w="570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EKONOMIKOS IR INVESTICIJŲ SKYRIAUS</w:t>
                  </w:r>
                </w:p>
              </w:tc>
            </w:tr>
            <w:tr w:rsidR="00866AD3" w:rsidTr="00CA6AF6">
              <w:trPr>
                <w:gridAfter w:val="1"/>
                <w:wAfter w:w="570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CA6AF6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CA6AF6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866AD3" w:rsidTr="00CA6AF6">
              <w:trPr>
                <w:gridAfter w:val="1"/>
                <w:wAfter w:w="570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2177D4" w:rsidRDefault="002177D4"/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</w:tr>
      <w:tr w:rsidR="002177D4" w:rsidTr="00CA6AF6">
        <w:trPr>
          <w:gridAfter w:val="2"/>
          <w:wAfter w:w="130" w:type="dxa"/>
          <w:trHeight w:val="349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06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</w:tr>
      <w:tr w:rsidR="00866AD3" w:rsidTr="00CA6AF6">
        <w:trPr>
          <w:gridAfter w:val="3"/>
          <w:wAfter w:w="150" w:type="dxa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46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177D4" w:rsidTr="00CA6AF6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2177D4" w:rsidRDefault="0047200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2177D4" w:rsidTr="00CA6AF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2177D4" w:rsidTr="00CA6AF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2177D4" w:rsidRDefault="002177D4"/>
        </w:tc>
      </w:tr>
      <w:tr w:rsidR="002177D4" w:rsidTr="00CA6AF6">
        <w:trPr>
          <w:gridAfter w:val="2"/>
          <w:wAfter w:w="130" w:type="dxa"/>
          <w:trHeight w:val="120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06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</w:tr>
      <w:tr w:rsidR="00866AD3" w:rsidTr="00CA6AF6">
        <w:trPr>
          <w:gridAfter w:val="3"/>
          <w:wAfter w:w="150" w:type="dxa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46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177D4" w:rsidTr="00CA6AF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2177D4" w:rsidRDefault="0047200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177D4" w:rsidTr="00CA6AF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sritis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2177D4" w:rsidTr="00CA6AF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177D4" w:rsidTr="00CA6AF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177D4" w:rsidRDefault="00472008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2177D4" w:rsidRDefault="002177D4"/>
              </w:tc>
            </w:tr>
            <w:tr w:rsidR="002177D4" w:rsidTr="00CA6AF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177D4" w:rsidTr="00CA6AF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177D4" w:rsidTr="00CA6AF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177D4" w:rsidRDefault="00472008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viešieji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ryšiai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2177D4" w:rsidRDefault="002177D4"/>
              </w:tc>
            </w:tr>
          </w:tbl>
          <w:p w:rsidR="002177D4" w:rsidRDefault="002177D4"/>
        </w:tc>
      </w:tr>
      <w:tr w:rsidR="002177D4" w:rsidTr="00CA6AF6">
        <w:trPr>
          <w:gridAfter w:val="2"/>
          <w:wAfter w:w="130" w:type="dxa"/>
          <w:trHeight w:val="126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06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</w:tr>
      <w:tr w:rsidR="00866AD3" w:rsidTr="00CA6AF6">
        <w:trPr>
          <w:gridAfter w:val="3"/>
          <w:wAfter w:w="150" w:type="dxa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46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177D4" w:rsidTr="00CA6AF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2177D4" w:rsidRDefault="0047200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177D4" w:rsidTr="00CA6AF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srities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2177D4" w:rsidTr="00CA6AF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177D4" w:rsidTr="00CA6AF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177D4" w:rsidRDefault="00472008">
                        <w:r>
                          <w:rPr>
                            <w:color w:val="000000"/>
                            <w:sz w:val="24"/>
                          </w:rPr>
                          <w:t xml:space="preserve">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Investicinės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aplinkos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verslo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plėtros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galimybių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2177D4" w:rsidRDefault="002177D4"/>
              </w:tc>
            </w:tr>
            <w:tr w:rsidR="002177D4" w:rsidTr="00CA6AF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veiklos srities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2177D4" w:rsidTr="00CA6AF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177D4" w:rsidTr="00CA6AF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177D4" w:rsidRDefault="00472008">
                        <w:r>
                          <w:rPr>
                            <w:color w:val="000000"/>
                            <w:sz w:val="24"/>
                          </w:rPr>
                          <w:t>6.1. Komunikacija.</w:t>
                        </w:r>
                      </w:p>
                    </w:tc>
                  </w:tr>
                </w:tbl>
                <w:p w:rsidR="002177D4" w:rsidRDefault="002177D4"/>
              </w:tc>
            </w:tr>
          </w:tbl>
          <w:p w:rsidR="002177D4" w:rsidRDefault="002177D4"/>
        </w:tc>
      </w:tr>
      <w:tr w:rsidR="002177D4" w:rsidTr="00CA6AF6">
        <w:trPr>
          <w:gridAfter w:val="2"/>
          <w:wAfter w:w="130" w:type="dxa"/>
          <w:trHeight w:val="100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06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</w:tr>
      <w:tr w:rsidR="00866AD3" w:rsidTr="00CA6AF6">
        <w:trPr>
          <w:gridAfter w:val="3"/>
          <w:wAfter w:w="150" w:type="dxa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26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177D4" w:rsidTr="00CA6AF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2177D4" w:rsidRDefault="0047200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2177D4" w:rsidRDefault="002177D4"/>
        </w:tc>
      </w:tr>
      <w:tr w:rsidR="002177D4" w:rsidTr="00CA6AF6">
        <w:trPr>
          <w:gridAfter w:val="2"/>
          <w:wAfter w:w="130" w:type="dxa"/>
          <w:trHeight w:val="39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06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</w:tr>
      <w:tr w:rsidR="00866AD3" w:rsidTr="00CA6AF6">
        <w:trPr>
          <w:gridAfter w:val="1"/>
          <w:wAfter w:w="20" w:type="dxa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476" w:type="dxa"/>
            <w:gridSpan w:val="5"/>
          </w:tcPr>
          <w:tbl>
            <w:tblPr>
              <w:tblW w:w="947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4"/>
              <w:gridCol w:w="144"/>
            </w:tblGrid>
            <w:tr w:rsidR="002177D4" w:rsidTr="00CA6AF6">
              <w:trPr>
                <w:gridAfter w:val="1"/>
                <w:wAfter w:w="144" w:type="dxa"/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Apdoroja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susijusios informacijos apdorojimą.</w:t>
                  </w:r>
                </w:p>
              </w:tc>
            </w:tr>
            <w:tr w:rsidR="002177D4" w:rsidTr="00CA6AF6">
              <w:trPr>
                <w:gridAfter w:val="1"/>
                <w:wAfter w:w="144" w:type="dxa"/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8. Konsultuoja priskirtos srities klausimais.</w:t>
                  </w:r>
                </w:p>
              </w:tc>
            </w:tr>
            <w:tr w:rsidR="002177D4" w:rsidTr="00CA6AF6">
              <w:trPr>
                <w:gridAfter w:val="1"/>
                <w:wAfter w:w="144" w:type="dxa"/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Organizuoja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organizavimą.</w:t>
                  </w:r>
                </w:p>
              </w:tc>
            </w:tr>
            <w:tr w:rsidR="002177D4" w:rsidTr="00CA6AF6">
              <w:trPr>
                <w:gridAfter w:val="1"/>
                <w:wAfter w:w="144" w:type="dxa"/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ir teikia informaciją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arba prireikus koordinuoja informacijos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rengimą ir teikimą.</w:t>
                  </w:r>
                </w:p>
              </w:tc>
            </w:tr>
            <w:tr w:rsidR="002177D4" w:rsidTr="00CA6AF6">
              <w:trPr>
                <w:gridAfter w:val="1"/>
                <w:wAfter w:w="144" w:type="dxa"/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ir teikia pasiūlymus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  <w:tr w:rsidR="002177D4" w:rsidTr="00CA6AF6">
              <w:trPr>
                <w:gridAfter w:val="1"/>
                <w:wAfter w:w="144" w:type="dxa"/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Apdoroja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viešaisiais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ryšiais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viešaisiais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ryšiais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susijusios informacijos apdorojimą.</w:t>
                  </w:r>
                </w:p>
              </w:tc>
            </w:tr>
            <w:tr w:rsidR="002177D4" w:rsidTr="00CA6AF6">
              <w:trPr>
                <w:gridAfter w:val="1"/>
                <w:wAfter w:w="144" w:type="dxa"/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Organizuoja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susitikimus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konferencijas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kitus panašaus pobūdžio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viešaisiais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ryšiais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susitikimų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konferencijų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kitų panašaus pobūdžio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viešaisiais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ryšiais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organizavimą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dalyvauja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2177D4" w:rsidTr="00CA6AF6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14. Rengia ir teikia pasiūlymus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viešaisiais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ryšiais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  <w:tr w:rsidR="002177D4" w:rsidTr="00CA6AF6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Rengia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viešaisiais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ryšiais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susijusius dokumentus arba prireikus koordinuoja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viešaisiais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ryšiais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susijusių dokumentų rengimą.</w:t>
                  </w:r>
                </w:p>
              </w:tc>
            </w:tr>
            <w:tr w:rsidR="002177D4" w:rsidTr="00CA6AF6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Rengia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ryšių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įgyvendina arba prireikus koordinuoja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ryšių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 ir įgyvendinimą.</w:t>
                  </w:r>
                </w:p>
              </w:tc>
            </w:tr>
          </w:tbl>
          <w:p w:rsidR="002177D4" w:rsidRDefault="002177D4" w:rsidP="00CA6AF6">
            <w:pPr>
              <w:jc w:val="both"/>
            </w:pPr>
          </w:p>
        </w:tc>
      </w:tr>
      <w:tr w:rsidR="002177D4" w:rsidTr="00CA6AF6">
        <w:trPr>
          <w:trHeight w:val="20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 w:rsidP="00CA6AF6">
            <w:pPr>
              <w:pStyle w:val="EmptyLayoutCell"/>
              <w:jc w:val="both"/>
            </w:pPr>
          </w:p>
        </w:tc>
        <w:tc>
          <w:tcPr>
            <w:tcW w:w="20" w:type="dxa"/>
          </w:tcPr>
          <w:p w:rsidR="002177D4" w:rsidRDefault="002177D4" w:rsidP="00CA6AF6">
            <w:pPr>
              <w:pStyle w:val="EmptyLayoutCell"/>
              <w:jc w:val="both"/>
            </w:pPr>
          </w:p>
        </w:tc>
        <w:tc>
          <w:tcPr>
            <w:tcW w:w="9436" w:type="dxa"/>
            <w:gridSpan w:val="3"/>
          </w:tcPr>
          <w:p w:rsidR="002177D4" w:rsidRDefault="002177D4" w:rsidP="00CA6AF6">
            <w:pPr>
              <w:pStyle w:val="EmptyLayoutCell"/>
              <w:jc w:val="both"/>
            </w:pPr>
          </w:p>
        </w:tc>
        <w:tc>
          <w:tcPr>
            <w:tcW w:w="20" w:type="dxa"/>
          </w:tcPr>
          <w:p w:rsidR="002177D4" w:rsidRDefault="002177D4" w:rsidP="00CA6AF6">
            <w:pPr>
              <w:pStyle w:val="EmptyLayoutCell"/>
              <w:jc w:val="both"/>
            </w:pPr>
          </w:p>
        </w:tc>
      </w:tr>
      <w:tr w:rsidR="00866AD3" w:rsidTr="00CA6AF6">
        <w:trPr>
          <w:gridAfter w:val="1"/>
          <w:wAfter w:w="20" w:type="dxa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476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6"/>
            </w:tblGrid>
            <w:tr w:rsidR="002177D4" w:rsidTr="00CA6AF6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Kuria Šiaulių miesto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įvaizdžio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rinkodaros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organizuoja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įgyvendinimą.</w:t>
                  </w:r>
                </w:p>
              </w:tc>
            </w:tr>
            <w:tr w:rsidR="002177D4" w:rsidTr="00CA6AF6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komunikaciją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("Facebook", LinkedIn", Instagram" ir kt.)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lietuvių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anglų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kalbomis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organizuoja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prisideda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Šiaulių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tinklapio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naujinimo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talpina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jame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informaciją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lietuvių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anglų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kalbomis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2177D4" w:rsidTr="00CA6AF6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Vykdo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organizatoriaus funkcijas pareigybės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aprašyme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srityse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2177D4" w:rsidTr="00CA6AF6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20. Organizuoja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prisideda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medžiagos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kurioje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atspindi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Šiaulių miesto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ekonominės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kryptys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investicinė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verslo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aplinka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2177D4" w:rsidTr="00CA6AF6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verslo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investicijų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pritraukimo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sąlygas, organizuoja informacijos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sklaidą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pristato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Šiaulių miesto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investicinę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verslo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galimybes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Lietuvos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tarptautinėje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rinkoje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2177D4" w:rsidRDefault="002177D4" w:rsidP="00CA6AF6">
            <w:pPr>
              <w:jc w:val="both"/>
            </w:pPr>
          </w:p>
        </w:tc>
      </w:tr>
      <w:tr w:rsidR="002177D4" w:rsidTr="00CA6AF6">
        <w:trPr>
          <w:gridAfter w:val="2"/>
          <w:wAfter w:w="130" w:type="dxa"/>
          <w:trHeight w:val="19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06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</w:tr>
      <w:tr w:rsidR="00866AD3" w:rsidTr="00CA6AF6">
        <w:trPr>
          <w:gridAfter w:val="3"/>
          <w:wAfter w:w="150" w:type="dxa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46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177D4" w:rsidTr="00CA6AF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r>
                    <w:rPr>
                      <w:color w:val="000000"/>
                      <w:sz w:val="24"/>
                    </w:rPr>
                    <w:t>22. Vykdo kitus nenuolatinio pobūdžio su struktūrinio padalinio veikla susijusius pavedimus.</w:t>
                  </w:r>
                </w:p>
              </w:tc>
            </w:tr>
          </w:tbl>
          <w:p w:rsidR="002177D4" w:rsidRDefault="002177D4"/>
        </w:tc>
      </w:tr>
      <w:tr w:rsidR="002177D4" w:rsidTr="00CA6AF6">
        <w:trPr>
          <w:gridAfter w:val="2"/>
          <w:wAfter w:w="130" w:type="dxa"/>
          <w:trHeight w:val="139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06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</w:tr>
      <w:tr w:rsidR="00866AD3" w:rsidTr="00CA6AF6">
        <w:trPr>
          <w:gridAfter w:val="3"/>
          <w:wAfter w:w="150" w:type="dxa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06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177D4" w:rsidTr="00CA6AF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2177D4" w:rsidRDefault="0047200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2177D4" w:rsidTr="00CA6AF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r>
                    <w:rPr>
                      <w:color w:val="000000"/>
                      <w:sz w:val="24"/>
                    </w:rPr>
                    <w:t>23.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2177D4" w:rsidTr="00CA6AF6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177D4" w:rsidTr="00CA6AF6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48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10"/>
                          <w:gridCol w:w="438"/>
                        </w:tblGrid>
                        <w:tr w:rsidR="002177D4" w:rsidTr="00CA6AF6">
                          <w:trPr>
                            <w:gridAfter w:val="1"/>
                            <w:wAfter w:w="438" w:type="dxa"/>
                            <w:trHeight w:val="260"/>
                          </w:trPr>
                          <w:tc>
                            <w:tcPr>
                              <w:tcW w:w="90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2177D4" w:rsidRDefault="00472008" w:rsidP="00CA6AF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2177D4" w:rsidTr="00CA6AF6">
                          <w:trPr>
                            <w:trHeight w:val="260"/>
                          </w:trPr>
                          <w:tc>
                            <w:tcPr>
                              <w:tcW w:w="9448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2177D4" w:rsidRDefault="0047200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rinkodara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2177D4" w:rsidTr="00CA6AF6">
                          <w:trPr>
                            <w:trHeight w:val="260"/>
                          </w:trPr>
                          <w:tc>
                            <w:tcPr>
                              <w:tcW w:w="9448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2177D4" w:rsidRDefault="00472008">
                              <w:r>
                                <w:rPr>
                                  <w:color w:val="000000"/>
                                  <w:sz w:val="24"/>
                                </w:rPr>
                                <w:t>23.3. studijų kryptis – vadyba (arba);</w:t>
                              </w:r>
                            </w:p>
                          </w:tc>
                        </w:tr>
                        <w:tr w:rsidR="002177D4" w:rsidTr="00CA6AF6">
                          <w:trPr>
                            <w:trHeight w:val="260"/>
                          </w:trPr>
                          <w:tc>
                            <w:tcPr>
                              <w:tcW w:w="9448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2177D4" w:rsidRDefault="00472008">
                              <w:r>
                                <w:rPr>
                                  <w:color w:val="000000"/>
                                  <w:sz w:val="24"/>
                                </w:rPr>
                                <w:t>23.4. studijų kryptis – komunikacija (arba);</w:t>
                              </w:r>
                            </w:p>
                          </w:tc>
                        </w:tr>
                        <w:tr w:rsidR="002177D4" w:rsidTr="00CA6AF6">
                          <w:trPr>
                            <w:trHeight w:val="260"/>
                          </w:trPr>
                          <w:tc>
                            <w:tcPr>
                              <w:tcW w:w="9448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2177D4" w:rsidRDefault="0047200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23.5.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verslas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2177D4" w:rsidTr="00CA6AF6">
                          <w:trPr>
                            <w:trHeight w:val="260"/>
                          </w:trPr>
                          <w:tc>
                            <w:tcPr>
                              <w:tcW w:w="9448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2177D4" w:rsidRDefault="00472008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2177D4" w:rsidRDefault="002177D4"/>
                    </w:tc>
                  </w:tr>
                  <w:tr w:rsidR="002177D4" w:rsidTr="00CA6AF6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10"/>
                        </w:tblGrid>
                        <w:tr w:rsidR="002177D4" w:rsidTr="00CA6AF6">
                          <w:trPr>
                            <w:trHeight w:val="260"/>
                          </w:trPr>
                          <w:tc>
                            <w:tcPr>
                              <w:tcW w:w="90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2177D4" w:rsidRDefault="00472008" w:rsidP="00CA6AF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2177D4" w:rsidTr="00CA6AF6">
                          <w:trPr>
                            <w:trHeight w:val="260"/>
                          </w:trPr>
                          <w:tc>
                            <w:tcPr>
                              <w:tcW w:w="90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2177D4" w:rsidRDefault="0047200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23.7. darbo patirtis – viešųjų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ryšių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patirtis;</w:t>
                              </w:r>
                            </w:p>
                          </w:tc>
                        </w:tr>
                        <w:tr w:rsidR="002177D4" w:rsidTr="00CA6AF6">
                          <w:trPr>
                            <w:trHeight w:val="260"/>
                          </w:trPr>
                          <w:tc>
                            <w:tcPr>
                              <w:tcW w:w="90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2177D4" w:rsidRDefault="0047200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23.8.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2177D4" w:rsidRDefault="002177D4"/>
                    </w:tc>
                  </w:tr>
                </w:tbl>
                <w:p w:rsidR="002177D4" w:rsidRDefault="002177D4"/>
              </w:tc>
            </w:tr>
            <w:tr w:rsidR="002177D4" w:rsidTr="00CA6AF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 w:rsidP="00CA6AF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Užsienio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kalbos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2177D4" w:rsidTr="00CA6AF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177D4" w:rsidTr="00CA6AF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177D4" w:rsidRDefault="00472008">
                        <w:r>
                          <w:rPr>
                            <w:color w:val="000000"/>
                            <w:sz w:val="24"/>
                          </w:rPr>
                          <w:t xml:space="preserve">24.1.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kalba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anglų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;</w:t>
                        </w:r>
                      </w:p>
                    </w:tc>
                  </w:tr>
                </w:tbl>
                <w:p w:rsidR="002177D4" w:rsidRDefault="002177D4"/>
              </w:tc>
            </w:tr>
            <w:tr w:rsidR="002177D4" w:rsidTr="00CA6AF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177D4" w:rsidTr="00CA6AF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177D4" w:rsidRDefault="00472008">
                        <w:r>
                          <w:rPr>
                            <w:color w:val="000000"/>
                            <w:sz w:val="24"/>
                          </w:rPr>
                          <w:t xml:space="preserve">24.2.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kalbos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mokėjimo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lygis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C1.</w:t>
                        </w:r>
                      </w:p>
                    </w:tc>
                  </w:tr>
                </w:tbl>
                <w:p w:rsidR="002177D4" w:rsidRDefault="002177D4"/>
              </w:tc>
            </w:tr>
          </w:tbl>
          <w:p w:rsidR="002177D4" w:rsidRDefault="002177D4"/>
        </w:tc>
      </w:tr>
      <w:tr w:rsidR="002177D4" w:rsidTr="00CA6AF6">
        <w:trPr>
          <w:gridAfter w:val="2"/>
          <w:wAfter w:w="130" w:type="dxa"/>
          <w:trHeight w:val="62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06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</w:tr>
      <w:tr w:rsidR="00866AD3" w:rsidTr="00CA6AF6">
        <w:trPr>
          <w:gridAfter w:val="3"/>
          <w:wAfter w:w="150" w:type="dxa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06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177D4" w:rsidTr="00CA6AF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2177D4" w:rsidRDefault="0047200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2177D4" w:rsidTr="00CA6AF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r>
                    <w:rPr>
                      <w:color w:val="000000"/>
                      <w:sz w:val="24"/>
                    </w:rPr>
                    <w:t>25.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2177D4" w:rsidTr="00CA6AF6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177D4" w:rsidTr="00CA6AF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177D4" w:rsidRDefault="00472008">
                        <w:r>
                          <w:rPr>
                            <w:color w:val="000000"/>
                            <w:sz w:val="24"/>
                          </w:rPr>
                          <w:t>25.1. vertės visuomenei kūrimas – 3;</w:t>
                        </w:r>
                      </w:p>
                    </w:tc>
                  </w:tr>
                  <w:tr w:rsidR="002177D4" w:rsidTr="00CA6AF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177D4" w:rsidRDefault="00472008">
                        <w:r>
                          <w:rPr>
                            <w:color w:val="000000"/>
                            <w:sz w:val="24"/>
                          </w:rPr>
                          <w:t>25.2. organizuotumas – 3;</w:t>
                        </w:r>
                      </w:p>
                    </w:tc>
                  </w:tr>
                  <w:tr w:rsidR="002177D4" w:rsidTr="00CA6AF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177D4" w:rsidRDefault="00472008">
                        <w:r>
                          <w:rPr>
                            <w:color w:val="000000"/>
                            <w:sz w:val="24"/>
                          </w:rPr>
                          <w:t>25.3. patikimumas ir atsakingumas – 3;</w:t>
                        </w:r>
                      </w:p>
                    </w:tc>
                  </w:tr>
                  <w:tr w:rsidR="002177D4" w:rsidTr="00CA6AF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177D4" w:rsidRDefault="00472008">
                        <w:r>
                          <w:rPr>
                            <w:color w:val="000000"/>
                            <w:sz w:val="24"/>
                          </w:rPr>
                          <w:t>25.4. analizė ir pagrindimas – 4;</w:t>
                        </w:r>
                      </w:p>
                    </w:tc>
                  </w:tr>
                  <w:tr w:rsidR="002177D4" w:rsidTr="00CA6AF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177D4" w:rsidRDefault="00472008">
                        <w:r>
                          <w:rPr>
                            <w:color w:val="000000"/>
                            <w:sz w:val="24"/>
                          </w:rPr>
                          <w:t xml:space="preserve">25.5.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2177D4" w:rsidRDefault="002177D4"/>
              </w:tc>
            </w:tr>
            <w:tr w:rsidR="002177D4" w:rsidTr="00CA6AF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r>
                    <w:rPr>
                      <w:color w:val="000000"/>
                      <w:sz w:val="24"/>
                    </w:rPr>
                    <w:t>26.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2177D4" w:rsidTr="00CA6AF6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177D4" w:rsidTr="00CA6AF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177D4" w:rsidRDefault="00472008">
                        <w:r>
                          <w:rPr>
                            <w:color w:val="000000"/>
                            <w:sz w:val="24"/>
                          </w:rPr>
                          <w:lastRenderedPageBreak/>
                          <w:t>26.1. įžvalgumas – 3;</w:t>
                        </w:r>
                      </w:p>
                    </w:tc>
                  </w:tr>
                  <w:tr w:rsidR="002177D4" w:rsidTr="00CA6AF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177D4" w:rsidRDefault="00472008">
                        <w:r>
                          <w:rPr>
                            <w:color w:val="000000"/>
                            <w:sz w:val="24"/>
                          </w:rPr>
                          <w:t xml:space="preserve">26.2.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2177D4" w:rsidRDefault="002177D4"/>
              </w:tc>
            </w:tr>
            <w:tr w:rsidR="002177D4" w:rsidTr="00CA6AF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r>
                    <w:rPr>
                      <w:color w:val="000000"/>
                      <w:sz w:val="24"/>
                    </w:rPr>
                    <w:t>27.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2177D4" w:rsidTr="00CA6AF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177D4" w:rsidTr="00CA6AF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177D4" w:rsidRDefault="00472008">
                        <w:r>
                          <w:rPr>
                            <w:color w:val="000000"/>
                            <w:sz w:val="24"/>
                          </w:rPr>
                          <w:t xml:space="preserve">27.1.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ryšių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išmanymas – 3.</w:t>
                        </w:r>
                      </w:p>
                    </w:tc>
                  </w:tr>
                </w:tbl>
                <w:p w:rsidR="002177D4" w:rsidRDefault="002177D4"/>
              </w:tc>
            </w:tr>
          </w:tbl>
          <w:p w:rsidR="002177D4" w:rsidRDefault="002177D4"/>
        </w:tc>
      </w:tr>
      <w:tr w:rsidR="002177D4" w:rsidTr="00CA6AF6">
        <w:trPr>
          <w:gridAfter w:val="2"/>
          <w:wAfter w:w="130" w:type="dxa"/>
          <w:trHeight w:val="517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06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</w:tr>
      <w:tr w:rsidR="00866AD3" w:rsidTr="00CA6AF6">
        <w:trPr>
          <w:gridAfter w:val="3"/>
          <w:wAfter w:w="150" w:type="dxa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06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2177D4" w:rsidTr="00CA6AF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2177D4"/>
              </w:tc>
            </w:tr>
            <w:tr w:rsidR="002177D4" w:rsidTr="00CA6AF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2177D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2177D4"/>
              </w:tc>
            </w:tr>
            <w:tr w:rsidR="002177D4" w:rsidTr="00CA6AF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2177D4"/>
              </w:tc>
            </w:tr>
            <w:tr w:rsidR="002177D4" w:rsidTr="00CA6AF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2177D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2177D4"/>
              </w:tc>
            </w:tr>
            <w:tr w:rsidR="002177D4" w:rsidTr="00CA6AF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2177D4"/>
              </w:tc>
            </w:tr>
            <w:tr w:rsidR="002177D4" w:rsidTr="00CA6AF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2177D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2177D4"/>
              </w:tc>
            </w:tr>
            <w:tr w:rsidR="002177D4" w:rsidTr="00CA6AF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472008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2177D4"/>
              </w:tc>
            </w:tr>
            <w:tr w:rsidR="002177D4" w:rsidTr="00CA6AF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2177D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177D4" w:rsidRDefault="002177D4"/>
              </w:tc>
            </w:tr>
          </w:tbl>
          <w:p w:rsidR="002177D4" w:rsidRDefault="002177D4"/>
        </w:tc>
      </w:tr>
      <w:tr w:rsidR="002177D4" w:rsidTr="00CA6AF6">
        <w:trPr>
          <w:gridAfter w:val="2"/>
          <w:wAfter w:w="130" w:type="dxa"/>
          <w:trHeight w:val="41"/>
        </w:trPr>
        <w:tc>
          <w:tcPr>
            <w:tcW w:w="22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9306" w:type="dxa"/>
          </w:tcPr>
          <w:p w:rsidR="002177D4" w:rsidRDefault="002177D4">
            <w:pPr>
              <w:pStyle w:val="EmptyLayoutCell"/>
            </w:pPr>
          </w:p>
        </w:tc>
        <w:tc>
          <w:tcPr>
            <w:tcW w:w="20" w:type="dxa"/>
          </w:tcPr>
          <w:p w:rsidR="002177D4" w:rsidRDefault="002177D4">
            <w:pPr>
              <w:pStyle w:val="EmptyLayoutCell"/>
            </w:pPr>
          </w:p>
        </w:tc>
      </w:tr>
    </w:tbl>
    <w:p w:rsidR="00472008" w:rsidRDefault="00472008"/>
    <w:sectPr w:rsidR="00472008" w:rsidSect="00CA6AF6">
      <w:pgSz w:w="11905" w:h="16837"/>
      <w:pgMar w:top="851" w:right="566" w:bottom="851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D3"/>
    <w:rsid w:val="002177D4"/>
    <w:rsid w:val="00472008"/>
    <w:rsid w:val="0085118A"/>
    <w:rsid w:val="00866AD3"/>
    <w:rsid w:val="00CA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021F9-60BC-4384-9023-83CDE565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2908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2021-03-10T14:31:00Z</dcterms:created>
  <dcterms:modified xsi:type="dcterms:W3CDTF">2021-04-21T16:51:00Z</dcterms:modified>
</cp:coreProperties>
</file>