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B61B07" w:rsidTr="00B61B07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B61B07" w:rsidTr="00B61B0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61B07" w:rsidTr="00B61B0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1B07" w:rsidRDefault="00B61B07" w:rsidP="00B61B0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1B07" w:rsidRDefault="00B61B07" w:rsidP="00B61B07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61B07" w:rsidTr="00B61B0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1B07" w:rsidRDefault="00B61B07" w:rsidP="00B61B0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1B07" w:rsidRDefault="00B61B07" w:rsidP="004C23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kovo </w:t>
                  </w:r>
                  <w:r w:rsidR="004C23DB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B61B07" w:rsidTr="00B61B0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1B07" w:rsidRDefault="00B61B07" w:rsidP="00B61B0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1B07" w:rsidRDefault="00B61B07" w:rsidP="00B61B07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23DB">
                    <w:rPr>
                      <w:color w:val="000000"/>
                      <w:sz w:val="24"/>
                      <w:szCs w:val="24"/>
                    </w:rPr>
                    <w:t>523</w:t>
                  </w:r>
                  <w:bookmarkStart w:id="0" w:name="_GoBack"/>
                  <w:bookmarkEnd w:id="0"/>
                </w:p>
              </w:tc>
            </w:tr>
            <w:tr w:rsidR="00B61B07" w:rsidTr="00B61B0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B61B07" w:rsidTr="00B61B0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61B07" w:rsidTr="00B61B0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B61B07" w:rsidTr="00B61B0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B61B07" w:rsidTr="00B61B0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675BD" w:rsidRDefault="00E675BD"/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E675BD">
        <w:trPr>
          <w:trHeight w:val="349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75BD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E675BD" w:rsidRDefault="00E675BD"/>
        </w:tc>
      </w:tr>
      <w:tr w:rsidR="00E675BD">
        <w:trPr>
          <w:trHeight w:val="120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75B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675B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75BD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675BD" w:rsidRDefault="00E675BD"/>
              </w:tc>
            </w:tr>
          </w:tbl>
          <w:p w:rsidR="00E675BD" w:rsidRDefault="00E675BD"/>
        </w:tc>
      </w:tr>
      <w:tr w:rsidR="00E675BD">
        <w:trPr>
          <w:trHeight w:val="126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75B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675B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ekonominės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675BD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įstaigų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ekonominės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tyrimas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išlaidų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kompensavimas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675BD" w:rsidRDefault="00E675BD"/>
              </w:tc>
            </w:tr>
          </w:tbl>
          <w:p w:rsidR="00E675BD" w:rsidRDefault="00E675BD"/>
        </w:tc>
      </w:tr>
      <w:tr w:rsidR="00E675BD">
        <w:trPr>
          <w:trHeight w:val="99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75B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675BD" w:rsidRDefault="00E675BD"/>
        </w:tc>
      </w:tr>
      <w:tr w:rsidR="00E675BD">
        <w:trPr>
          <w:trHeight w:val="39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E675BD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E675BD" w:rsidRDefault="00E675BD"/>
        </w:tc>
      </w:tr>
      <w:tr w:rsidR="00E675BD">
        <w:trPr>
          <w:trHeight w:val="20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E675BD" w:rsidTr="00B61B0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Vykdo 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2004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5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nutarimu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Nr. 128 "Dėl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padalinių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" 7.16.9-7.16.10, 7.16.12, 7.16.16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papunkčiuose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nustatytas funkcijas.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Koordinuoja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savo nustatyta tvarka,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veiklos planus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75BD" w:rsidTr="00B61B0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 w:rsidP="00B61B0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Dalyvauja komisijų ir darbo grupių, kurių nariu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darbe,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atlyginimo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tarifų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675BD" w:rsidRDefault="00E675BD"/>
        </w:tc>
      </w:tr>
      <w:tr w:rsidR="00E675BD">
        <w:trPr>
          <w:trHeight w:val="20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27. Vykdo kitus nenuolatinio pobūdžio su struktūrinio padalinio veikla susijusius pavedimus.</w:t>
                  </w:r>
                </w:p>
              </w:tc>
            </w:tr>
          </w:tbl>
          <w:p w:rsidR="00E675BD" w:rsidRDefault="00E675BD"/>
        </w:tc>
      </w:tr>
      <w:tr w:rsidR="00E675BD">
        <w:trPr>
          <w:trHeight w:val="139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E675B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28.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675BD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E675BD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E675BD" w:rsidTr="00B61B07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75BD" w:rsidRDefault="00522C51" w:rsidP="00B61B0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28.1.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E675BD" w:rsidTr="00B61B07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75BD" w:rsidRDefault="00522C5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E675BD" w:rsidTr="00B61B07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75BD" w:rsidRDefault="00522C5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E675BD" w:rsidRDefault="00E675BD"/>
                    </w:tc>
                  </w:tr>
                  <w:tr w:rsidR="00E675BD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E675BD" w:rsidTr="00B61B07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75BD" w:rsidRDefault="00522C51" w:rsidP="00B61B0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E675BD" w:rsidTr="00B61B07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75BD" w:rsidRDefault="00522C51">
                              <w:r>
                                <w:rPr>
                                  <w:color w:val="000000"/>
                                  <w:sz w:val="24"/>
                                </w:rPr>
                                <w:t>28.4. darbo patirtis – finansų valdymo srities patirtis;</w:t>
                              </w:r>
                            </w:p>
                          </w:tc>
                        </w:tr>
                        <w:tr w:rsidR="00E675BD" w:rsidTr="00B61B07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75BD" w:rsidRDefault="00522C5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E675BD" w:rsidRDefault="00E675BD"/>
                    </w:tc>
                  </w:tr>
                </w:tbl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 xml:space="preserve">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675B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29.1.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E675BD" w:rsidRDefault="00E675BD"/>
              </w:tc>
            </w:tr>
            <w:tr w:rsidR="00E675B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29.2.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E675BD" w:rsidRDefault="00E675BD"/>
              </w:tc>
            </w:tr>
          </w:tbl>
          <w:p w:rsidR="00E675BD" w:rsidRDefault="00E675BD"/>
        </w:tc>
      </w:tr>
      <w:tr w:rsidR="00E675BD">
        <w:trPr>
          <w:trHeight w:val="62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75B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675BD" w:rsidRDefault="00522C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30.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675BD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>30.1. vertės visuomenei kūrimas – 3;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>30.2. organizuotumas – 3;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>30.3. patikimumas ir atsakingumas – 3;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>30.4. analizė ir pagrindimas – 3;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30.5.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31.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E675BD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>31.1. įžvalgumas – 3;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>31.2. informacijos valdymas – 3;</w:t>
                        </w:r>
                      </w:p>
                    </w:tc>
                  </w:tr>
                  <w:tr w:rsidR="00E675B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75BD" w:rsidRDefault="00522C51">
                        <w:r>
                          <w:rPr>
                            <w:color w:val="000000"/>
                            <w:sz w:val="24"/>
                          </w:rPr>
                          <w:t xml:space="preserve">31.3.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E675BD" w:rsidRDefault="00E675BD"/>
              </w:tc>
            </w:tr>
          </w:tbl>
          <w:p w:rsidR="00E675BD" w:rsidRDefault="00E675BD"/>
        </w:tc>
      </w:tr>
      <w:tr w:rsidR="00E675BD">
        <w:trPr>
          <w:trHeight w:val="517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  <w:tr w:rsidR="00B61B07" w:rsidTr="00B61B07"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675B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522C5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  <w:tr w:rsidR="00E675B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75BD" w:rsidRDefault="00E675BD"/>
              </w:tc>
            </w:tr>
          </w:tbl>
          <w:p w:rsidR="00E675BD" w:rsidRDefault="00E675BD"/>
        </w:tc>
      </w:tr>
      <w:tr w:rsidR="00E675BD">
        <w:trPr>
          <w:trHeight w:val="41"/>
        </w:trPr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9055" w:type="dxa"/>
          </w:tcPr>
          <w:p w:rsidR="00E675BD" w:rsidRDefault="00E675BD">
            <w:pPr>
              <w:pStyle w:val="EmptyLayoutCell"/>
            </w:pPr>
          </w:p>
        </w:tc>
        <w:tc>
          <w:tcPr>
            <w:tcW w:w="13" w:type="dxa"/>
          </w:tcPr>
          <w:p w:rsidR="00E675BD" w:rsidRDefault="00E675BD">
            <w:pPr>
              <w:pStyle w:val="EmptyLayoutCell"/>
            </w:pPr>
          </w:p>
        </w:tc>
      </w:tr>
    </w:tbl>
    <w:p w:rsidR="00522C51" w:rsidRDefault="00522C51"/>
    <w:sectPr w:rsidR="00522C5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07"/>
    <w:rsid w:val="004C23DB"/>
    <w:rsid w:val="00522C51"/>
    <w:rsid w:val="00B61B07"/>
    <w:rsid w:val="00E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BCC4-BA83-4B64-B386-E2E8384E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2021-03-17T12:52:00Z</dcterms:created>
  <dcterms:modified xsi:type="dcterms:W3CDTF">2021-03-21T06:31:00Z</dcterms:modified>
</cp:coreProperties>
</file>