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D4332" w14:textId="77777777" w:rsidR="008E03A9" w:rsidRDefault="009F5D13">
      <w:pPr>
        <w:ind w:firstLine="5103"/>
        <w:jc w:val="both"/>
        <w:rPr>
          <w:rFonts w:ascii="Times New Roman" w:hAnsi="Times New Roman"/>
          <w:sz w:val="24"/>
          <w:szCs w:val="24"/>
        </w:rPr>
      </w:pPr>
      <w:r>
        <w:rPr>
          <w:rFonts w:ascii="Times New Roman" w:hAnsi="Times New Roman"/>
          <w:sz w:val="24"/>
          <w:szCs w:val="24"/>
        </w:rPr>
        <w:t>PATVIRTINTA</w:t>
      </w:r>
    </w:p>
    <w:p w14:paraId="7B9D4333" w14:textId="77777777" w:rsidR="008E03A9" w:rsidRDefault="009F5D13">
      <w:pPr>
        <w:ind w:firstLine="5103"/>
        <w:jc w:val="both"/>
        <w:rPr>
          <w:rFonts w:ascii="Times New Roman" w:hAnsi="Times New Roman"/>
          <w:sz w:val="24"/>
          <w:szCs w:val="24"/>
        </w:rPr>
      </w:pPr>
      <w:r>
        <w:rPr>
          <w:rFonts w:ascii="Times New Roman" w:hAnsi="Times New Roman"/>
          <w:sz w:val="24"/>
          <w:szCs w:val="24"/>
        </w:rPr>
        <w:t>Šiaulių miesto savivaldybės tarybos</w:t>
      </w:r>
    </w:p>
    <w:p w14:paraId="7B9D4334" w14:textId="43303C59" w:rsidR="008E03A9" w:rsidRDefault="009F5D13">
      <w:pPr>
        <w:ind w:firstLine="5103"/>
        <w:jc w:val="both"/>
        <w:rPr>
          <w:rFonts w:ascii="Times New Roman" w:hAnsi="Times New Roman"/>
          <w:sz w:val="24"/>
          <w:szCs w:val="24"/>
        </w:rPr>
      </w:pPr>
      <w:r>
        <w:rPr>
          <w:rFonts w:ascii="Times New Roman" w:hAnsi="Times New Roman"/>
          <w:sz w:val="24"/>
          <w:szCs w:val="24"/>
        </w:rPr>
        <w:t>2021 m.</w:t>
      </w:r>
      <w:r w:rsidR="00207C85">
        <w:rPr>
          <w:rFonts w:ascii="Times New Roman" w:hAnsi="Times New Roman"/>
          <w:sz w:val="24"/>
          <w:szCs w:val="24"/>
        </w:rPr>
        <w:t xml:space="preserve"> vasario 4 </w:t>
      </w:r>
      <w:r>
        <w:rPr>
          <w:rFonts w:ascii="Times New Roman" w:hAnsi="Times New Roman"/>
          <w:sz w:val="24"/>
          <w:szCs w:val="24"/>
        </w:rPr>
        <w:t>d. sprendimu Nr. T-</w:t>
      </w:r>
      <w:r w:rsidR="00207C85">
        <w:rPr>
          <w:rFonts w:ascii="Times New Roman" w:hAnsi="Times New Roman"/>
          <w:sz w:val="24"/>
          <w:szCs w:val="24"/>
        </w:rPr>
        <w:t>22</w:t>
      </w:r>
    </w:p>
    <w:p w14:paraId="7B9D4335" w14:textId="77777777" w:rsidR="008E03A9" w:rsidRDefault="008E03A9">
      <w:pPr>
        <w:spacing w:line="360" w:lineRule="auto"/>
        <w:jc w:val="center"/>
        <w:rPr>
          <w:rFonts w:ascii="Times New Roman" w:hAnsi="Times New Roman"/>
          <w:sz w:val="24"/>
          <w:szCs w:val="24"/>
        </w:rPr>
      </w:pPr>
    </w:p>
    <w:p w14:paraId="7B9D4336" w14:textId="77777777" w:rsidR="008E03A9" w:rsidRDefault="009F5D13">
      <w:pPr>
        <w:jc w:val="center"/>
        <w:rPr>
          <w:rFonts w:ascii="Times New Roman" w:hAnsi="Times New Roman"/>
          <w:b/>
          <w:caps/>
          <w:sz w:val="24"/>
          <w:szCs w:val="24"/>
          <w:lang w:eastAsia="en-US"/>
        </w:rPr>
      </w:pPr>
      <w:r>
        <w:rPr>
          <w:rFonts w:ascii="Times New Roman" w:hAnsi="Times New Roman"/>
          <w:b/>
          <w:caps/>
          <w:sz w:val="24"/>
          <w:szCs w:val="24"/>
          <w:lang w:eastAsia="en-US"/>
        </w:rPr>
        <w:t>Šiaulių  miesto SAVIVALDYBĖS</w:t>
      </w:r>
    </w:p>
    <w:p w14:paraId="7B9D4337" w14:textId="77777777" w:rsidR="008E03A9" w:rsidRDefault="009F5D13">
      <w:pPr>
        <w:jc w:val="center"/>
        <w:rPr>
          <w:rFonts w:ascii="Times New Roman" w:hAnsi="Times New Roman"/>
          <w:b/>
          <w:sz w:val="24"/>
          <w:szCs w:val="24"/>
        </w:rPr>
      </w:pPr>
      <w:r>
        <w:rPr>
          <w:rFonts w:ascii="Times New Roman" w:hAnsi="Times New Roman"/>
          <w:b/>
          <w:caps/>
          <w:sz w:val="24"/>
          <w:szCs w:val="24"/>
          <w:lang w:eastAsia="en-US"/>
        </w:rPr>
        <w:t>INFRASTRUKTŪROS PLĖTROS RĖMIMO PROGRAMOS KOMISIJOS DARBO REGLAMENTAS</w:t>
      </w:r>
    </w:p>
    <w:p w14:paraId="7B9D4338" w14:textId="77777777" w:rsidR="008E03A9" w:rsidRDefault="008E03A9">
      <w:pPr>
        <w:spacing w:line="360" w:lineRule="auto"/>
        <w:jc w:val="center"/>
        <w:rPr>
          <w:rFonts w:ascii="Times New Roman" w:hAnsi="Times New Roman"/>
          <w:b/>
          <w:sz w:val="24"/>
          <w:szCs w:val="24"/>
        </w:rPr>
      </w:pPr>
    </w:p>
    <w:p w14:paraId="7B9D4339" w14:textId="77777777" w:rsidR="008E03A9" w:rsidRDefault="009F5D13">
      <w:pPr>
        <w:jc w:val="center"/>
        <w:rPr>
          <w:rFonts w:ascii="Times New Roman" w:hAnsi="Times New Roman"/>
          <w:b/>
          <w:sz w:val="24"/>
          <w:szCs w:val="24"/>
        </w:rPr>
      </w:pPr>
      <w:r>
        <w:rPr>
          <w:rFonts w:ascii="Times New Roman" w:hAnsi="Times New Roman"/>
          <w:b/>
          <w:sz w:val="24"/>
          <w:szCs w:val="24"/>
        </w:rPr>
        <w:t>I SKYRIUS</w:t>
      </w:r>
    </w:p>
    <w:p w14:paraId="7B9D433A" w14:textId="77777777" w:rsidR="008E03A9" w:rsidRDefault="009F5D13">
      <w:pPr>
        <w:jc w:val="center"/>
        <w:rPr>
          <w:rFonts w:ascii="Times New Roman" w:hAnsi="Times New Roman"/>
          <w:b/>
          <w:sz w:val="24"/>
          <w:szCs w:val="24"/>
        </w:rPr>
      </w:pPr>
      <w:r>
        <w:rPr>
          <w:rFonts w:ascii="Times New Roman" w:hAnsi="Times New Roman"/>
          <w:b/>
          <w:sz w:val="24"/>
          <w:szCs w:val="24"/>
        </w:rPr>
        <w:t>BENDROSIOS NUOSTATOS</w:t>
      </w:r>
    </w:p>
    <w:p w14:paraId="7B9D433B" w14:textId="77777777" w:rsidR="008E03A9" w:rsidRDefault="008E03A9">
      <w:pPr>
        <w:spacing w:line="360" w:lineRule="auto"/>
        <w:jc w:val="center"/>
        <w:rPr>
          <w:rFonts w:ascii="Times New Roman" w:hAnsi="Times New Roman"/>
          <w:b/>
          <w:sz w:val="24"/>
          <w:szCs w:val="24"/>
        </w:rPr>
      </w:pPr>
    </w:p>
    <w:p w14:paraId="7B9D433C"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Šiaulių miesto savivaldybės </w:t>
      </w:r>
      <w:bookmarkStart w:id="0" w:name="_GoBack"/>
      <w:r>
        <w:rPr>
          <w:rFonts w:ascii="Times New Roman" w:hAnsi="Times New Roman"/>
          <w:sz w:val="24"/>
          <w:szCs w:val="24"/>
        </w:rPr>
        <w:t>infrastruktūros plėtros rėmimo programos</w:t>
      </w:r>
      <w:bookmarkEnd w:id="0"/>
      <w:r>
        <w:rPr>
          <w:rFonts w:ascii="Times New Roman" w:hAnsi="Times New Roman"/>
          <w:sz w:val="24"/>
          <w:szCs w:val="24"/>
        </w:rPr>
        <w:t xml:space="preserve"> komisijos darbo reglamentas (toliau – Reglamentas) nustato Šiaulių miesto savivaldybės infrastruktūros plėtros rėmimo programos komisijos (toliau – Komisija) teisinį veiklos pagrindą, Komisijos sudarymą, darbo organizavimą, funkcijas, teises ir pareigas.</w:t>
      </w:r>
    </w:p>
    <w:p w14:paraId="7B9D433D"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Komisija tikrina Šiaulių miesto savivaldybės infrastruktūros plėtros organizatoriaus (toliau – Organizatorius) parengtą Šiaulių miesto savivaldybės infrastruktūros plėtros priemonių planą (toliau – Priemonių planas), Šiaulių miesto savivaldybės infrastruktūros plėtros rėmimo programos (toliau – Programos) lėšų panaudojimo planą, Programos lėšų panaudojimo ataskaitą (toliau – Ataskaita) ir teikia išvadą dėl Priemonių plano ir Programos lėšų panaudojimo plano atitikties galiojantiems teritorijų planavimo dokumentų sprendiniams, patvirtintiems strateginiams Šiaulių miesto savivaldybės plėtros planams (toliau – Savivaldybės plėtros planai), o Ataskaitos atveju – išvadą dėl Programos lėšų panaudojimo pagrįstumo (atitikties Priemonių planui ir Programos lėšų panaudojimo planui).</w:t>
      </w:r>
    </w:p>
    <w:p w14:paraId="7B9D433E"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Komisija savo veikloje vadovaujasi Lietuvos Respublikos Konstitucija, Lietuvos Respublikos vietos savivaldos įstatymu, Lietuvos Respublikos savivaldybių infrastruktūros plėtros įstatymu, kitais šalyje galiojančiais teisės aktais ir Reglamentu.</w:t>
      </w:r>
    </w:p>
    <w:p w14:paraId="7B9D433F"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Komisija sprendimus priima laikydamasi lygiateisiškumo, nešališkumo, skaidrumo ir nediskriminavimo principų.</w:t>
      </w:r>
    </w:p>
    <w:p w14:paraId="7B9D4340"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Komisija atskaitinga Šiaulių miesto savivaldybės tarybai (toliau – Savivaldybės taryba).</w:t>
      </w:r>
    </w:p>
    <w:p w14:paraId="7B9D4341" w14:textId="77777777" w:rsidR="008E03A9" w:rsidRDefault="008E03A9">
      <w:pPr>
        <w:tabs>
          <w:tab w:val="left" w:pos="1276"/>
        </w:tabs>
        <w:ind w:left="851"/>
        <w:jc w:val="both"/>
        <w:rPr>
          <w:rFonts w:ascii="Times New Roman" w:hAnsi="Times New Roman"/>
          <w:sz w:val="24"/>
          <w:szCs w:val="24"/>
        </w:rPr>
      </w:pPr>
    </w:p>
    <w:p w14:paraId="7B9D4342" w14:textId="77777777" w:rsidR="008E03A9" w:rsidRDefault="009F5D13">
      <w:pPr>
        <w:jc w:val="center"/>
        <w:rPr>
          <w:rFonts w:ascii="Times New Roman" w:hAnsi="Times New Roman"/>
          <w:b/>
          <w:sz w:val="24"/>
          <w:szCs w:val="24"/>
        </w:rPr>
      </w:pPr>
      <w:r>
        <w:rPr>
          <w:rFonts w:ascii="Times New Roman" w:hAnsi="Times New Roman"/>
          <w:b/>
          <w:sz w:val="24"/>
          <w:szCs w:val="24"/>
        </w:rPr>
        <w:t>II SKYRIUS</w:t>
      </w:r>
    </w:p>
    <w:p w14:paraId="7B9D4343" w14:textId="77777777" w:rsidR="008E03A9" w:rsidRDefault="009F5D13">
      <w:pPr>
        <w:jc w:val="center"/>
        <w:rPr>
          <w:rFonts w:ascii="Times New Roman" w:hAnsi="Times New Roman"/>
          <w:b/>
          <w:sz w:val="24"/>
          <w:szCs w:val="24"/>
        </w:rPr>
      </w:pPr>
      <w:r>
        <w:rPr>
          <w:rFonts w:ascii="Times New Roman" w:hAnsi="Times New Roman"/>
          <w:b/>
          <w:sz w:val="24"/>
          <w:szCs w:val="24"/>
        </w:rPr>
        <w:t>KOMISIJOS FUNKCIJOS</w:t>
      </w:r>
    </w:p>
    <w:p w14:paraId="7B9D4344" w14:textId="77777777" w:rsidR="008E03A9" w:rsidRDefault="008E03A9">
      <w:pPr>
        <w:ind w:firstLine="720"/>
        <w:jc w:val="center"/>
        <w:rPr>
          <w:rFonts w:ascii="Times New Roman" w:hAnsi="Times New Roman"/>
          <w:b/>
          <w:sz w:val="24"/>
          <w:szCs w:val="24"/>
        </w:rPr>
      </w:pPr>
    </w:p>
    <w:p w14:paraId="7B9D4345"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Komisija atlieka šias funkcijas:</w:t>
      </w:r>
    </w:p>
    <w:p w14:paraId="7B9D4346" w14:textId="77777777" w:rsidR="008E03A9" w:rsidRDefault="009F5D13">
      <w:pPr>
        <w:pStyle w:val="Sraopastraipa"/>
        <w:numPr>
          <w:ilvl w:val="1"/>
          <w:numId w:val="1"/>
        </w:numPr>
        <w:tabs>
          <w:tab w:val="left" w:pos="1276"/>
        </w:tabs>
        <w:spacing w:line="240" w:lineRule="auto"/>
        <w:ind w:left="0" w:firstLine="851"/>
        <w:jc w:val="both"/>
        <w:rPr>
          <w:szCs w:val="24"/>
        </w:rPr>
      </w:pPr>
      <w:r>
        <w:rPr>
          <w:szCs w:val="24"/>
        </w:rPr>
        <w:t>tikrina Organizatoriaus parengtą Priemonių planą ir Programos lėšų panaudojimo planą;</w:t>
      </w:r>
    </w:p>
    <w:p w14:paraId="7B9D4347" w14:textId="77777777" w:rsidR="008E03A9" w:rsidRDefault="009F5D13">
      <w:pPr>
        <w:pStyle w:val="Sraopastraipa"/>
        <w:numPr>
          <w:ilvl w:val="1"/>
          <w:numId w:val="1"/>
        </w:numPr>
        <w:tabs>
          <w:tab w:val="left" w:pos="1276"/>
        </w:tabs>
        <w:spacing w:line="240" w:lineRule="auto"/>
        <w:ind w:left="0" w:firstLine="851"/>
        <w:jc w:val="both"/>
        <w:rPr>
          <w:szCs w:val="24"/>
        </w:rPr>
      </w:pPr>
      <w:r>
        <w:rPr>
          <w:szCs w:val="24"/>
        </w:rPr>
        <w:t>tikrina Ataskaitą;</w:t>
      </w:r>
    </w:p>
    <w:p w14:paraId="7B9D4348" w14:textId="77777777" w:rsidR="008E03A9" w:rsidRDefault="009F5D13">
      <w:pPr>
        <w:pStyle w:val="Sraopastraipa"/>
        <w:numPr>
          <w:ilvl w:val="1"/>
          <w:numId w:val="1"/>
        </w:numPr>
        <w:tabs>
          <w:tab w:val="left" w:pos="1276"/>
        </w:tabs>
        <w:spacing w:line="240" w:lineRule="auto"/>
        <w:ind w:left="0" w:firstLine="851"/>
        <w:jc w:val="both"/>
        <w:rPr>
          <w:szCs w:val="24"/>
        </w:rPr>
      </w:pPr>
      <w:r>
        <w:rPr>
          <w:szCs w:val="24"/>
        </w:rPr>
        <w:t>rengia ir Organizatoriui teikia išvadą dėl Priemonių plano ir Programos lėšų panaudojimo plano atitikties galiojantiems teritorijų planavimo dokumentų sprendiniams, patvirtintiems strateginiams Savivaldybės plėtros planams;</w:t>
      </w:r>
    </w:p>
    <w:p w14:paraId="7B9D4349" w14:textId="77777777" w:rsidR="008E03A9" w:rsidRDefault="009F5D13">
      <w:pPr>
        <w:pStyle w:val="Sraopastraipa"/>
        <w:numPr>
          <w:ilvl w:val="1"/>
          <w:numId w:val="1"/>
        </w:numPr>
        <w:tabs>
          <w:tab w:val="left" w:pos="1276"/>
        </w:tabs>
        <w:spacing w:line="240" w:lineRule="auto"/>
        <w:ind w:left="0" w:firstLine="851"/>
        <w:jc w:val="both"/>
        <w:rPr>
          <w:szCs w:val="24"/>
        </w:rPr>
      </w:pPr>
      <w:r>
        <w:rPr>
          <w:szCs w:val="24"/>
        </w:rPr>
        <w:t>rengia ir Organizatoriui teikia išvadą dėl Programos lėšų panaudojimo Ataskaitos pagrįstumo (atitikties Priemonių planui ir Programos lėšų panaudojimo planui);</w:t>
      </w:r>
    </w:p>
    <w:p w14:paraId="7B9D434A" w14:textId="77777777" w:rsidR="008E03A9" w:rsidRDefault="009F5D13">
      <w:pPr>
        <w:pStyle w:val="Sraopastraipa"/>
        <w:numPr>
          <w:ilvl w:val="1"/>
          <w:numId w:val="1"/>
        </w:numPr>
        <w:tabs>
          <w:tab w:val="left" w:pos="1276"/>
        </w:tabs>
        <w:spacing w:line="240" w:lineRule="auto"/>
        <w:ind w:left="0" w:firstLine="851"/>
        <w:jc w:val="both"/>
        <w:rPr>
          <w:szCs w:val="24"/>
        </w:rPr>
      </w:pPr>
      <w:r>
        <w:rPr>
          <w:szCs w:val="24"/>
        </w:rPr>
        <w:t>rengia siūlymą Savivaldybės tarybai keisti Organizatorių ir (ar) taikyti Organizatoriui teisinę atsakomybę, jeigu Komisija nustato, kad Programos lėšos panaudotos nepagrįstai;</w:t>
      </w:r>
    </w:p>
    <w:p w14:paraId="7B9D434B" w14:textId="77777777" w:rsidR="008E03A9" w:rsidRDefault="009F5D13">
      <w:pPr>
        <w:pStyle w:val="Sraopastraipa"/>
        <w:numPr>
          <w:ilvl w:val="1"/>
          <w:numId w:val="1"/>
        </w:numPr>
        <w:tabs>
          <w:tab w:val="left" w:pos="1276"/>
        </w:tabs>
        <w:spacing w:line="240" w:lineRule="auto"/>
        <w:ind w:left="0" w:firstLine="851"/>
        <w:jc w:val="both"/>
        <w:rPr>
          <w:szCs w:val="24"/>
        </w:rPr>
      </w:pPr>
      <w:r>
        <w:rPr>
          <w:szCs w:val="24"/>
        </w:rPr>
        <w:t>vykdo kitus Savivaldybės tarybos pavedimus.</w:t>
      </w:r>
    </w:p>
    <w:p w14:paraId="7B9D434C" w14:textId="77777777" w:rsidR="008E03A9" w:rsidRDefault="008E03A9">
      <w:pPr>
        <w:pStyle w:val="Sraopastraipa"/>
        <w:tabs>
          <w:tab w:val="left" w:pos="1276"/>
        </w:tabs>
        <w:spacing w:line="240" w:lineRule="auto"/>
        <w:ind w:left="0" w:firstLine="851"/>
        <w:jc w:val="both"/>
        <w:rPr>
          <w:szCs w:val="24"/>
        </w:rPr>
      </w:pPr>
    </w:p>
    <w:p w14:paraId="7B9D4350" w14:textId="77777777" w:rsidR="008E03A9" w:rsidRDefault="009F5D13">
      <w:pPr>
        <w:jc w:val="center"/>
        <w:rPr>
          <w:rFonts w:ascii="Times New Roman" w:hAnsi="Times New Roman"/>
          <w:b/>
          <w:sz w:val="24"/>
          <w:szCs w:val="24"/>
        </w:rPr>
      </w:pPr>
      <w:r>
        <w:rPr>
          <w:rFonts w:ascii="Times New Roman" w:hAnsi="Times New Roman"/>
          <w:b/>
          <w:sz w:val="24"/>
          <w:szCs w:val="24"/>
        </w:rPr>
        <w:t>III SKYRIUS</w:t>
      </w:r>
    </w:p>
    <w:p w14:paraId="7B9D4351" w14:textId="77777777" w:rsidR="008E03A9" w:rsidRDefault="009F5D13">
      <w:pPr>
        <w:jc w:val="center"/>
        <w:rPr>
          <w:rFonts w:ascii="Times New Roman" w:hAnsi="Times New Roman"/>
          <w:b/>
          <w:sz w:val="24"/>
          <w:szCs w:val="24"/>
        </w:rPr>
      </w:pPr>
      <w:r>
        <w:rPr>
          <w:rFonts w:ascii="Times New Roman" w:hAnsi="Times New Roman"/>
          <w:b/>
          <w:sz w:val="24"/>
          <w:szCs w:val="24"/>
        </w:rPr>
        <w:t>KOMISIJOS TEISĖS IR PAREIGOS</w:t>
      </w:r>
    </w:p>
    <w:p w14:paraId="7B9D4352" w14:textId="77777777" w:rsidR="008E03A9" w:rsidRDefault="008E03A9">
      <w:pPr>
        <w:ind w:firstLine="720"/>
        <w:jc w:val="center"/>
        <w:rPr>
          <w:rFonts w:ascii="Times New Roman" w:hAnsi="Times New Roman"/>
          <w:b/>
          <w:sz w:val="24"/>
          <w:szCs w:val="24"/>
        </w:rPr>
      </w:pPr>
    </w:p>
    <w:p w14:paraId="7B9D4353"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Komisija turi teisę:</w:t>
      </w:r>
    </w:p>
    <w:p w14:paraId="7B9D4354" w14:textId="77777777" w:rsidR="008E03A9" w:rsidRDefault="009F5D13">
      <w:pPr>
        <w:pStyle w:val="Sraopastraipa"/>
        <w:numPr>
          <w:ilvl w:val="1"/>
          <w:numId w:val="1"/>
        </w:numPr>
        <w:tabs>
          <w:tab w:val="left" w:pos="1276"/>
        </w:tabs>
        <w:spacing w:line="240" w:lineRule="auto"/>
        <w:ind w:left="0" w:firstLine="851"/>
        <w:jc w:val="both"/>
        <w:rPr>
          <w:szCs w:val="24"/>
        </w:rPr>
      </w:pPr>
      <w:r>
        <w:rPr>
          <w:szCs w:val="24"/>
        </w:rPr>
        <w:lastRenderedPageBreak/>
        <w:t>gauti iš Savivaldybės administracijos padalinių ir į struktūrinius padalinius neįeinančių viešojo administravimo valstybės tarnautojų Komisijos darbui reikiamą informaciją ir dokumentus;</w:t>
      </w:r>
    </w:p>
    <w:p w14:paraId="7B9D4355" w14:textId="77777777" w:rsidR="008E03A9" w:rsidRDefault="009F5D13">
      <w:pPr>
        <w:pStyle w:val="Sraopastraipa"/>
        <w:numPr>
          <w:ilvl w:val="1"/>
          <w:numId w:val="1"/>
        </w:numPr>
        <w:tabs>
          <w:tab w:val="left" w:pos="1276"/>
        </w:tabs>
        <w:spacing w:line="240" w:lineRule="auto"/>
        <w:ind w:left="0" w:firstLine="851"/>
        <w:jc w:val="both"/>
        <w:rPr>
          <w:szCs w:val="24"/>
        </w:rPr>
      </w:pPr>
      <w:r>
        <w:rPr>
          <w:color w:val="000000"/>
          <w:szCs w:val="24"/>
        </w:rPr>
        <w:t>siūlyti pakeisti ir papildyti Reglamentą;</w:t>
      </w:r>
    </w:p>
    <w:p w14:paraId="7B9D4356" w14:textId="77777777" w:rsidR="008E03A9" w:rsidRDefault="009F5D13">
      <w:pPr>
        <w:pStyle w:val="Sraopastraipa"/>
        <w:numPr>
          <w:ilvl w:val="1"/>
          <w:numId w:val="1"/>
        </w:numPr>
        <w:tabs>
          <w:tab w:val="left" w:pos="1276"/>
        </w:tabs>
        <w:spacing w:line="240" w:lineRule="auto"/>
        <w:ind w:left="0" w:firstLine="851"/>
        <w:jc w:val="both"/>
        <w:rPr>
          <w:color w:val="FF0000"/>
          <w:szCs w:val="24"/>
        </w:rPr>
      </w:pPr>
      <w:r>
        <w:rPr>
          <w:color w:val="000000"/>
          <w:szCs w:val="24"/>
        </w:rPr>
        <w:t xml:space="preserve"> turėti kitas teisės aktuose numatytas arba Komisijos darbui tinkamai atlikti reikalingas teises.</w:t>
      </w:r>
    </w:p>
    <w:p w14:paraId="7B9D4357"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color w:val="000000"/>
          <w:sz w:val="24"/>
          <w:szCs w:val="24"/>
        </w:rPr>
        <w:t>Komisija, vykdydama</w:t>
      </w:r>
      <w:r>
        <w:rPr>
          <w:rFonts w:ascii="Times New Roman" w:hAnsi="Times New Roman"/>
          <w:sz w:val="24"/>
          <w:szCs w:val="24"/>
        </w:rPr>
        <w:t xml:space="preserve"> jai pavestas funkcijas, privalo laikytis Lietuvos Respublikos įstatymų ir kitų teisės aktų reikalavimų, taip pat užtikrinti asmens duomenų apsaugos reikalavimus.</w:t>
      </w:r>
    </w:p>
    <w:p w14:paraId="7B9D4358" w14:textId="77777777" w:rsidR="008E03A9" w:rsidRDefault="008E03A9">
      <w:pPr>
        <w:ind w:firstLine="720"/>
        <w:jc w:val="center"/>
        <w:rPr>
          <w:rFonts w:ascii="Times New Roman" w:hAnsi="Times New Roman"/>
          <w:b/>
          <w:sz w:val="24"/>
          <w:szCs w:val="24"/>
          <w:highlight w:val="yellow"/>
        </w:rPr>
      </w:pPr>
    </w:p>
    <w:p w14:paraId="7B9D4359" w14:textId="77777777" w:rsidR="008E03A9" w:rsidRDefault="009F5D13">
      <w:pPr>
        <w:jc w:val="center"/>
        <w:rPr>
          <w:rFonts w:ascii="Times New Roman" w:hAnsi="Times New Roman"/>
          <w:b/>
          <w:sz w:val="24"/>
          <w:szCs w:val="24"/>
        </w:rPr>
      </w:pPr>
      <w:r>
        <w:rPr>
          <w:rFonts w:ascii="Times New Roman" w:hAnsi="Times New Roman"/>
          <w:b/>
          <w:sz w:val="24"/>
          <w:szCs w:val="24"/>
        </w:rPr>
        <w:t>IV SKYRIUS</w:t>
      </w:r>
    </w:p>
    <w:p w14:paraId="7B9D435A" w14:textId="77777777" w:rsidR="008E03A9" w:rsidRDefault="009F5D13">
      <w:pPr>
        <w:jc w:val="center"/>
        <w:rPr>
          <w:rFonts w:ascii="Times New Roman" w:hAnsi="Times New Roman"/>
          <w:b/>
          <w:sz w:val="24"/>
          <w:szCs w:val="24"/>
        </w:rPr>
      </w:pPr>
      <w:r>
        <w:rPr>
          <w:rFonts w:ascii="Times New Roman" w:hAnsi="Times New Roman"/>
          <w:b/>
          <w:sz w:val="24"/>
          <w:szCs w:val="24"/>
        </w:rPr>
        <w:t>KOMISIJOS SUDARYMAS IR DARBO ORGANIZAVIMAS</w:t>
      </w:r>
    </w:p>
    <w:p w14:paraId="7B9D435B" w14:textId="77777777" w:rsidR="008E03A9" w:rsidRDefault="008E03A9">
      <w:pPr>
        <w:jc w:val="both"/>
        <w:rPr>
          <w:rFonts w:ascii="Times New Roman" w:hAnsi="Times New Roman"/>
          <w:b/>
          <w:sz w:val="24"/>
          <w:szCs w:val="24"/>
        </w:rPr>
      </w:pPr>
    </w:p>
    <w:p w14:paraId="7B9D435C"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Komisiją sudaro ne mažiau kaip 7 (septyni) nariai. Į Komisijos sudėtį įtraukiami Šiaulių miesto savivaldybės administracijos (toliau – Savivaldybės administracija) direktorius (Komisijos pirmininkas), Savivaldybės administracijos vyriausiasis architektas, Savivaldybės administracijos vyriausiasis inžinierius ir kiti Savivaldybės administracijos valstybės tarnautojai, kurių funkcijos tiesiogiai nesusijusios su Organizatoriaus funkcijomis. </w:t>
      </w:r>
    </w:p>
    <w:p w14:paraId="7B9D435D"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Komisija sudaroma ir jos sudėtis keičiama Savivaldybės tarybos sprendimu.</w:t>
      </w:r>
    </w:p>
    <w:p w14:paraId="7B9D435E"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Komisijai atstovauja ir jos darbą organizuoja Komisijos pirmininkas.</w:t>
      </w:r>
    </w:p>
    <w:p w14:paraId="7B9D435F"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Komisijos posėdžiai yra teisėti, jeigu juose dalyvauja ne mažiau kaip 1/2 Komisijos narių. Komisijos posėdžiai gali būti organizuojami nuotolinio ryšio priemonėmis, gali būti daromas posėdžio garso įrašas.</w:t>
      </w:r>
    </w:p>
    <w:p w14:paraId="7B9D4360"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Komisijos sprendimai priimami visų jos narių balsų dauguma. </w:t>
      </w:r>
    </w:p>
    <w:p w14:paraId="7B9D4361"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Komisijos posėdžiams dokumentus rengia ir informaciją teikia Organizatorius, išskyrus Komisijos darbo organizacinius dokumentus (Komisijos posėdžių darbotvarkes, posėdžių protokolus ir Komisijos išvadas, kurias rengia ir teikia Komisijos sekretorius).</w:t>
      </w:r>
    </w:p>
    <w:p w14:paraId="7B9D4362"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Eiliniai Komisijos posėdžiai šaukiami einamųjų metų pabaigoje, ne vėliau kaip per 7 (septynias) darbo dienas nuo tos dienos, kai Organizatorius Komisijai pateikia Priemonių planą, Programos lėšų panaudojimo planą ir Šiaulių miesto savivaldybės kontrolės ir audito tarnybos patvirtintą Ataskaitą. Organizatorius turi teisę inicijuoti ir neeilinį Komisijos posėdį.</w:t>
      </w:r>
    </w:p>
    <w:p w14:paraId="7B9D4363"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Komisijos posėdžiams pirmininkauja Komisijos pirmininkas, jeigu jo nėra – Komisijos pirmininko pavaduotojas, kuris Komisijos sprendimu išrenkamas iš Komisijos narių.</w:t>
      </w:r>
    </w:p>
    <w:p w14:paraId="7B9D4364"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Komisijos darbą organizuoja sekretorius.</w:t>
      </w:r>
    </w:p>
    <w:p w14:paraId="7B9D4365"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Komisijos sekretorius sudaro, su Komisijos pirmininku suderina posėdžio darbotvarkę ir ne vėliau kaip prieš 5 (penkias) darbo dienas iki posėdžio supažindina su ja Komisijos narius (darbotvarkė su lydimąja medžiaga išsiunčiama elektroniniu paštu). Darbotvarkė ne vėliau kaip prieš 5 (penkias) darbo dienas iki posėdžio skelbiama Šiaulių miesto savivaldybės interneto svetainėje. Komisijos sekretorius neturi balsavimo teisės.</w:t>
      </w:r>
    </w:p>
    <w:p w14:paraId="7B9D4366"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Komisijos posėdžio darbotvarkė dėl svarbių priežasčių gali būti keičiama Komisijos posėdžio metu, jeigu už tai balsuoja dauguma Komisijos narių.</w:t>
      </w:r>
    </w:p>
    <w:p w14:paraId="7B9D4367"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Komisijos narys taip pat neturi teisės dalyvauti svarstant ar priimant Komisijai sprendimus arba kitaip paveikti Komisijos sprendimus, kurie sukelia viešųjų ir privačių interesų konfliktą. Prieš pradedant tokio sprendimo rengimo, svarstymo ar priėmimo procedūrą arba pačios procedūros metu Komisijos narys privalo informuoti Komisijos pirmininką arba Komisijos pirmininko pavaduotoją, jei Komisijos narys eina Komisijos pirmininko pareigas, ir Komisijos narius bei kitus asmenis, kurie kartu dalyvauja svarstant ar priimant sprendimą, apie esamą interesų konfliktą, pareikšti apie nusišalinimą ir jokia forma nedalyvauti toliau svarstant ar priimant sprendimą. Jeigu Komisijos narys nenusišalina svarstant ar priimant Komisijos sprendimus, kurie gali sukelti viešųjų ir privačių interesų konfliktą, Komisijos pirmininko ar jį pavaduojančio Komisijos pirmininko pavaduotojo siūlymu ir tam pritariant ne mažiau kaip dviem trečdaliams Komisijos posėdyje dalyvaujančių Komisijos narių, Komisijos narys gali būti nušalintas nuo tokių klausimų svarstymo ir sprendimų priėmimo. Apie Komisijos nario pareikštą nusišalinimą arba Komisijos priimtą sprendimą nušalinti Komisijos narį nurodoma Komisijos posėdžio protokole.</w:t>
      </w:r>
    </w:p>
    <w:p w14:paraId="7B9D4368"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lastRenderedPageBreak/>
        <w:t>Komisija priima sprendimus posėdyje paprasta balsų dauguma atviru balsavimu. Jeigu balsai pasiskirsto po lygiai, lemia Komisijos pirmininko (posėdžio pirmininko) balsas. Komisijos sprendimai įforminami protokolu ir Komisijos išvada.</w:t>
      </w:r>
    </w:p>
    <w:p w14:paraId="7B9D4369"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Komisijos posėdžius protokoluoja ir daro jų garso įrašus sekretorius. </w:t>
      </w:r>
    </w:p>
    <w:p w14:paraId="7B9D436A"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Komisijos posėdžių protokolai surašomi per 3 (tris) darbo dienas po posėdžio, vadovaujantis Dokumentų rengimo taisyklėmis.</w:t>
      </w:r>
    </w:p>
    <w:p w14:paraId="7B9D436B"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Komisijos išvados projektas rengiamas posėdžio protokolo pagrindu. Komisijos išvadą parengia ir su Komisijos pirmininku suderina sekretorius. </w:t>
      </w:r>
    </w:p>
    <w:p w14:paraId="7B9D436C"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Komisijos posėdžio protokolą pasirašo Komisijos pirmininkas, kai jo nėra – pirmininko pavaduotojas ir sekretorius, Komisijos išvadas pasirašo Komisijos (posėdžio) pirmininkas, o kai jo nėra – pirmininko pavaduotojas.</w:t>
      </w:r>
    </w:p>
    <w:p w14:paraId="7B9D436D"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Komisijos išvados dėl Priemonių plano, Programos lėšų panaudojimo plano ir Ataskaitos parengiamos ir pateikiamos Organizatoriui ne vėliau kaip per 3 (tris) darbo dienas nuo Komisijos posėdžio dienos.</w:t>
      </w:r>
    </w:p>
    <w:p w14:paraId="7B9D436E"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Komisijos posėdžių protokolai ir Komisijos išvados saugomi Savivaldybės administracijos Bendrųjų reikalų skyriuje ir Savivaldybės archyve teisės aktų nustatyta tvarka ne mažiau kaip penkerius metus.</w:t>
      </w:r>
    </w:p>
    <w:p w14:paraId="7B9D436F"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Su Komisijų posėdžių garso įrašais (kai jie daromi), posėdžių medžiaga ir kitais Komisijos veiklos dokumentais, nepažeidžiant Lietuvos Respublikos asmens duomenų teisinės apsaugos įstatymo, galima susipažinti Asmenų aptarnavimo ir jų prašymų nagrinėjimo Šiaulių miesto savivaldybės administracijoje ir jos padaliniuose taisyklėse nustatyta tvarka.</w:t>
      </w:r>
    </w:p>
    <w:p w14:paraId="7B9D4370" w14:textId="77777777" w:rsidR="008E03A9" w:rsidRDefault="008E03A9">
      <w:pPr>
        <w:tabs>
          <w:tab w:val="left" w:pos="1276"/>
        </w:tabs>
        <w:ind w:left="851"/>
        <w:jc w:val="both"/>
        <w:rPr>
          <w:rFonts w:ascii="Times New Roman" w:hAnsi="Times New Roman"/>
          <w:sz w:val="24"/>
          <w:szCs w:val="24"/>
        </w:rPr>
      </w:pPr>
    </w:p>
    <w:p w14:paraId="7B9D4371" w14:textId="77777777" w:rsidR="008E03A9" w:rsidRDefault="009F5D13">
      <w:pPr>
        <w:jc w:val="center"/>
        <w:rPr>
          <w:rFonts w:ascii="Times New Roman" w:hAnsi="Times New Roman"/>
          <w:b/>
          <w:sz w:val="24"/>
          <w:szCs w:val="24"/>
        </w:rPr>
      </w:pPr>
      <w:r>
        <w:rPr>
          <w:rFonts w:ascii="Times New Roman" w:hAnsi="Times New Roman"/>
          <w:b/>
          <w:sz w:val="24"/>
          <w:szCs w:val="24"/>
        </w:rPr>
        <w:t>V SKYRIUS</w:t>
      </w:r>
    </w:p>
    <w:p w14:paraId="7B9D4372" w14:textId="77777777" w:rsidR="008E03A9" w:rsidRDefault="009F5D13">
      <w:pPr>
        <w:jc w:val="center"/>
        <w:rPr>
          <w:rFonts w:ascii="Times New Roman" w:hAnsi="Times New Roman"/>
          <w:b/>
          <w:sz w:val="24"/>
          <w:szCs w:val="24"/>
        </w:rPr>
      </w:pPr>
      <w:r>
        <w:rPr>
          <w:rFonts w:ascii="Times New Roman" w:hAnsi="Times New Roman"/>
          <w:b/>
          <w:sz w:val="24"/>
          <w:szCs w:val="24"/>
        </w:rPr>
        <w:t>BAIGIAMOSIOS NUOSTATOS</w:t>
      </w:r>
    </w:p>
    <w:p w14:paraId="7B9D4373" w14:textId="77777777" w:rsidR="008E03A9" w:rsidRDefault="008E03A9">
      <w:pPr>
        <w:jc w:val="center"/>
        <w:rPr>
          <w:rFonts w:ascii="Times New Roman" w:hAnsi="Times New Roman"/>
          <w:b/>
          <w:sz w:val="24"/>
          <w:szCs w:val="24"/>
        </w:rPr>
      </w:pPr>
    </w:p>
    <w:p w14:paraId="7B9D4374"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Reglamentas yra tvirtinamas ir keičiamas Savivaldybės tarybos sprendimu.</w:t>
      </w:r>
    </w:p>
    <w:p w14:paraId="7B9D4375" w14:textId="77777777" w:rsidR="008E03A9" w:rsidRDefault="009F5D13">
      <w:pPr>
        <w:numPr>
          <w:ilvl w:val="0"/>
          <w:numId w:val="1"/>
        </w:numPr>
        <w:tabs>
          <w:tab w:val="left" w:pos="1276"/>
        </w:tabs>
        <w:ind w:left="0" w:firstLine="851"/>
        <w:jc w:val="both"/>
        <w:rPr>
          <w:rFonts w:ascii="Times New Roman" w:hAnsi="Times New Roman"/>
          <w:sz w:val="24"/>
          <w:szCs w:val="24"/>
        </w:rPr>
      </w:pPr>
      <w:r>
        <w:rPr>
          <w:rFonts w:ascii="Times New Roman" w:hAnsi="Times New Roman"/>
          <w:sz w:val="24"/>
          <w:szCs w:val="24"/>
        </w:rPr>
        <w:t>Komisijų sprendimai gali būti skundžiami Lietuvos Respublikos administracinių bylų teisenos įstatymo nustatyta tvarka.</w:t>
      </w:r>
    </w:p>
    <w:p w14:paraId="7B9D4376" w14:textId="77777777" w:rsidR="008E03A9" w:rsidRDefault="009F5D13">
      <w:pPr>
        <w:ind w:firstLine="720"/>
        <w:jc w:val="center"/>
        <w:rPr>
          <w:rFonts w:ascii="Times New Roman" w:hAnsi="Times New Roman"/>
          <w:sz w:val="24"/>
          <w:szCs w:val="24"/>
        </w:rPr>
      </w:pPr>
      <w:r>
        <w:rPr>
          <w:rFonts w:ascii="Times New Roman" w:hAnsi="Times New Roman"/>
          <w:sz w:val="24"/>
          <w:szCs w:val="24"/>
        </w:rPr>
        <w:t>_________________________</w:t>
      </w:r>
    </w:p>
    <w:sectPr w:rsidR="008E03A9">
      <w:headerReference w:type="default" r:id="rId7"/>
      <w:footerReference w:type="default" r:id="rId8"/>
      <w:headerReference w:type="first" r:id="rId9"/>
      <w:footerReference w:type="first" r:id="rId10"/>
      <w:pgSz w:w="11906" w:h="16838"/>
      <w:pgMar w:top="1134" w:right="567" w:bottom="1134" w:left="1701" w:header="567" w:footer="567" w:gutter="0"/>
      <w:cols w:space="1296"/>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77772" w14:textId="77777777" w:rsidR="00501376" w:rsidRDefault="00501376">
      <w:r>
        <w:separator/>
      </w:r>
    </w:p>
  </w:endnote>
  <w:endnote w:type="continuationSeparator" w:id="0">
    <w:p w14:paraId="1AE2F580" w14:textId="77777777" w:rsidR="00501376" w:rsidRDefault="0050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4378" w14:textId="77777777" w:rsidR="008E03A9" w:rsidRDefault="008E03A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437A" w14:textId="77777777" w:rsidR="008E03A9" w:rsidRDefault="008E03A9">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C1DFE" w14:textId="77777777" w:rsidR="00501376" w:rsidRDefault="00501376">
      <w:r>
        <w:separator/>
      </w:r>
    </w:p>
  </w:footnote>
  <w:footnote w:type="continuationSeparator" w:id="0">
    <w:p w14:paraId="2A676447" w14:textId="77777777" w:rsidR="00501376" w:rsidRDefault="00501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4377" w14:textId="77777777" w:rsidR="008E03A9" w:rsidRDefault="009F5D13">
    <w:pPr>
      <w:pStyle w:val="Antrats"/>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3" behindDoc="1" locked="0" layoutInCell="1" allowOverlap="1" wp14:anchorId="7B9D437B" wp14:editId="7B9D437C">
              <wp:simplePos x="0" y="0"/>
              <wp:positionH relativeFrom="margin">
                <wp:align>center</wp:align>
              </wp:positionH>
              <wp:positionV relativeFrom="paragraph">
                <wp:posOffset>635</wp:posOffset>
              </wp:positionV>
              <wp:extent cx="85725" cy="17462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8496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7B9D437D" w14:textId="77777777" w:rsidR="008E03A9" w:rsidRDefault="009F5D13">
                          <w:pPr>
                            <w:pStyle w:val="Antrats"/>
                            <w:rPr>
                              <w:rFonts w:ascii="Times New Roman" w:hAnsi="Times New Roman"/>
                              <w:sz w:val="24"/>
                              <w:szCs w:val="24"/>
                            </w:rPr>
                          </w:pPr>
                          <w:r>
                            <w:rPr>
                              <w:rStyle w:val="Puslapionumeris"/>
                              <w:rFonts w:ascii="Times New Roman" w:hAnsi="Times New Roman"/>
                              <w:color w:val="000000"/>
                              <w:sz w:val="24"/>
                              <w:szCs w:val="24"/>
                            </w:rPr>
                            <w:fldChar w:fldCharType="begin"/>
                          </w:r>
                          <w:r>
                            <w:rPr>
                              <w:rStyle w:val="Puslapionumeris"/>
                              <w:rFonts w:ascii="Times New Roman" w:hAnsi="Times New Roman"/>
                              <w:sz w:val="24"/>
                              <w:szCs w:val="24"/>
                            </w:rPr>
                            <w:instrText>PAGE</w:instrText>
                          </w:r>
                          <w:r>
                            <w:rPr>
                              <w:rStyle w:val="Puslapionumeris"/>
                              <w:rFonts w:ascii="Times New Roman" w:hAnsi="Times New Roman"/>
                              <w:sz w:val="24"/>
                              <w:szCs w:val="24"/>
                            </w:rPr>
                            <w:fldChar w:fldCharType="separate"/>
                          </w:r>
                          <w:r>
                            <w:rPr>
                              <w:rStyle w:val="Puslapionumeris"/>
                              <w:rFonts w:ascii="Times New Roman" w:hAnsi="Times New Roman"/>
                              <w:sz w:val="24"/>
                              <w:szCs w:val="24"/>
                            </w:rPr>
                            <w:t>3</w:t>
                          </w:r>
                          <w:r>
                            <w:rPr>
                              <w:rStyle w:val="Puslapionumeris"/>
                              <w:rFonts w:ascii="Times New Roman" w:hAnsi="Times New Roman"/>
                              <w:sz w:val="24"/>
                              <w:szCs w:val="24"/>
                            </w:rPr>
                            <w:fldChar w:fldCharType="end"/>
                          </w:r>
                        </w:p>
                      </w:txbxContent>
                    </wps:txbx>
                    <wps:bodyPr lIns="0" tIns="0" rIns="0" bIns="0">
                      <a:spAutoFit/>
                    </wps:bodyPr>
                  </wps:wsp>
                </a:graphicData>
              </a:graphic>
            </wp:anchor>
          </w:drawing>
        </mc:Choice>
        <mc:Fallback xmlns:w16="http://schemas.microsoft.com/office/word/2018/wordml" xmlns:w16cex="http://schemas.microsoft.com/office/word/2018/wordml/cex">
          <w:pict>
            <v:rect w14:anchorId="7B9D437B" id="Frame1" o:spid="_x0000_s1026" style="position:absolute;left:0;text-align:left;margin-left:0;margin-top:.05pt;width:6.75pt;height:13.7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SNT0wEAAAoEAAAOAAAAZHJzL2Uyb0RvYy54bWysU9tu2zAMfR+wfxD0vjjphi4z4hTDigwD hq1Ytw+QZSkWoBsoNXb+fhTtuLs8teiLTFE8JM8hvbsZnWUnBckE3/DNas2Z8jJ0xh8b/uvn4c2W s5SF74QNXjX8rBK/2b9+tRtira5CH2yngGESn+ohNrzPOdZVlWSvnEirEJXHRx3AiYxXOFYdiAGz O1tdrdfX1RCgixCkSgm9t9Mj31N+rZXM37VOKjPbcOwt0wl0tuWs9jtRH0HE3si5DfGMLpwwHosu qW5FFuwBzH+pnJEQUtB5JYOrgtZGKuKAbDbrf9jc9yIq4oLipLjIlF4urfx2ugNmOpwdZ144HNEB 8LMpygwx1RhwH+9gviU0C81RgytfJMBGUvO8qKnGzCQ6t+8+XKPkEl82799utyR29YiNkPJnFRwr RsMBZ0USitPXlLEehl5CSikfDsZampf1fzkwsHiq0u7UIFn5bFWJs/6H0kiR+iyOJOHYfrLApj3A RcU2L9tAyRBQAjUWfCJ2hhS0ovV7In4BUf3g84J3xgcoU5l4TuwK0Ty24zyeNnRnHKf94nFFyrpf DLgY7WyQDvHjQ0ZVSeySaYLPFXDhaAbzz1E2+s87RT3+wvvfAAAA//8DAFBLAwQUAAYACAAAACEA ItdPpdoAAAADAQAADwAAAGRycy9kb3ducmV2LnhtbEyPwU7DMBBE70j8g7WVuKDWIYhSQpwKIfWG hJr2QG/beIlD43UUu03g63FOcNyZ0czbfD3aVlyo941jBXeLBARx5XTDtYL9bjNfgfABWWPrmBR8 k4d1cX2VY6bdwFu6lKEWsYR9hgpMCF0mpa8MWfQL1xFH79P1FkM8+1rqHodYbluZJslSWmw4Lhjs 6NVQdSrPVsHm/aMh/pHb26fV4L6q9FCat06pm9n48gwi0Bj+wjDhR3QoItPRnVl70SqIj4RJFZN3 /wDiqCB9XIIscvmfvfgFAAD//wMAUEsBAi0AFAAGAAgAAAAhALaDOJL+AAAA4QEAABMAAAAAAAAA AAAAAAAAAAAAAFtDb250ZW50X1R5cGVzXS54bWxQSwECLQAUAAYACAAAACEAOP0h/9YAAACUAQAA CwAAAAAAAAAAAAAAAAAvAQAAX3JlbHMvLnJlbHNQSwECLQAUAAYACAAAACEAKv0jU9MBAAAKBAAA DgAAAAAAAAAAAAAAAAAuAgAAZHJzL2Uyb0RvYy54bWxQSwECLQAUAAYACAAAACEAItdPpdoAAAAD AQAADwAAAAAAAAAAAAAAAAAtBAAAZHJzL2Rvd25yZXYueG1sUEsFBgAAAAAEAAQA8wAAADQFAAAA AA== " filled="f" stroked="f">
              <v:textbox style="mso-fit-shape-to-text:t" inset="0,0,0,0">
                <w:txbxContent>
                  <w:p w14:paraId="7B9D437D" w14:textId="77777777" w:rsidR="008E03A9" w:rsidRDefault="009F5D13">
                    <w:pPr>
                      <w:pStyle w:val="Antrats"/>
                      <w:rPr>
                        <w:rFonts w:ascii="Times New Roman" w:hAnsi="Times New Roman"/>
                        <w:sz w:val="24"/>
                        <w:szCs w:val="24"/>
                      </w:rPr>
                    </w:pPr>
                    <w:r>
                      <w:rPr>
                        <w:rStyle w:val="Puslapionumeris"/>
                        <w:rFonts w:ascii="Times New Roman" w:hAnsi="Times New Roman"/>
                        <w:color w:val="000000"/>
                        <w:sz w:val="24"/>
                        <w:szCs w:val="24"/>
                      </w:rPr>
                      <w:fldChar w:fldCharType="begin"/>
                    </w:r>
                    <w:r>
                      <w:rPr>
                        <w:rStyle w:val="Puslapionumeris"/>
                        <w:rFonts w:ascii="Times New Roman" w:hAnsi="Times New Roman"/>
                        <w:sz w:val="24"/>
                        <w:szCs w:val="24"/>
                      </w:rPr>
                      <w:instrText>PAGE</w:instrText>
                    </w:r>
                    <w:r>
                      <w:rPr>
                        <w:rStyle w:val="Puslapionumeris"/>
                        <w:rFonts w:ascii="Times New Roman" w:hAnsi="Times New Roman"/>
                        <w:sz w:val="24"/>
                        <w:szCs w:val="24"/>
                      </w:rPr>
                      <w:fldChar w:fldCharType="separate"/>
                    </w:r>
                    <w:r>
                      <w:rPr>
                        <w:rStyle w:val="Puslapionumeris"/>
                        <w:rFonts w:ascii="Times New Roman" w:hAnsi="Times New Roman"/>
                        <w:sz w:val="24"/>
                        <w:szCs w:val="24"/>
                      </w:rPr>
                      <w:t>3</w:t>
                    </w:r>
                    <w:r>
                      <w:rPr>
                        <w:rStyle w:val="Puslapionumeris"/>
                        <w:rFonts w:ascii="Times New Roman" w:hAnsi="Times New Roman"/>
                        <w:sz w:val="24"/>
                        <w:szCs w:val="24"/>
                      </w:rP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4379" w14:textId="77777777" w:rsidR="008E03A9" w:rsidRDefault="008E03A9">
    <w:pPr>
      <w:rPr>
        <w:rFonts w:ascii="Times New Roman" w:hAnsi="Times New Roman"/>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92AAC"/>
    <w:multiLevelType w:val="multilevel"/>
    <w:tmpl w:val="8F400E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B27222E"/>
    <w:multiLevelType w:val="multilevel"/>
    <w:tmpl w:val="D302B4BE"/>
    <w:lvl w:ilvl="0">
      <w:start w:val="1"/>
      <w:numFmt w:val="decimal"/>
      <w:lvlText w:val="%1."/>
      <w:lvlJc w:val="left"/>
      <w:pPr>
        <w:ind w:left="1665" w:hanging="360"/>
      </w:pPr>
    </w:lvl>
    <w:lvl w:ilvl="1">
      <w:start w:val="1"/>
      <w:numFmt w:val="decimal"/>
      <w:lvlText w:val="%1.%2."/>
      <w:lvlJc w:val="left"/>
      <w:pPr>
        <w:ind w:left="1785" w:hanging="480"/>
      </w:pPr>
      <w:rPr>
        <w:color w:val="000000"/>
      </w:rPr>
    </w:lvl>
    <w:lvl w:ilvl="2">
      <w:start w:val="1"/>
      <w:numFmt w:val="decimal"/>
      <w:lvlText w:val="%1.%2.%3."/>
      <w:lvlJc w:val="left"/>
      <w:pPr>
        <w:ind w:left="2025" w:hanging="720"/>
      </w:pPr>
    </w:lvl>
    <w:lvl w:ilvl="3">
      <w:start w:val="1"/>
      <w:numFmt w:val="decimal"/>
      <w:lvlText w:val="%1.%2.%3.%4."/>
      <w:lvlJc w:val="left"/>
      <w:pPr>
        <w:ind w:left="2025" w:hanging="720"/>
      </w:pPr>
    </w:lvl>
    <w:lvl w:ilvl="4">
      <w:start w:val="1"/>
      <w:numFmt w:val="decimal"/>
      <w:lvlText w:val="%1.%2.%3.%4.%5."/>
      <w:lvlJc w:val="left"/>
      <w:pPr>
        <w:ind w:left="2385" w:hanging="1080"/>
      </w:pPr>
    </w:lvl>
    <w:lvl w:ilvl="5">
      <w:start w:val="1"/>
      <w:numFmt w:val="decimal"/>
      <w:lvlText w:val="%1.%2.%3.%4.%5.%6."/>
      <w:lvlJc w:val="left"/>
      <w:pPr>
        <w:ind w:left="2385" w:hanging="1080"/>
      </w:pPr>
    </w:lvl>
    <w:lvl w:ilvl="6">
      <w:start w:val="1"/>
      <w:numFmt w:val="decimal"/>
      <w:lvlText w:val="%1.%2.%3.%4.%5.%6.%7."/>
      <w:lvlJc w:val="left"/>
      <w:pPr>
        <w:ind w:left="2745" w:hanging="1440"/>
      </w:pPr>
    </w:lvl>
    <w:lvl w:ilvl="7">
      <w:start w:val="1"/>
      <w:numFmt w:val="decimal"/>
      <w:lvlText w:val="%1.%2.%3.%4.%5.%6.%7.%8."/>
      <w:lvlJc w:val="left"/>
      <w:pPr>
        <w:ind w:left="2745" w:hanging="1440"/>
      </w:pPr>
    </w:lvl>
    <w:lvl w:ilvl="8">
      <w:start w:val="1"/>
      <w:numFmt w:val="decimal"/>
      <w:lvlText w:val="%1.%2.%3.%4.%5.%6.%7.%8.%9."/>
      <w:lvlJc w:val="left"/>
      <w:pPr>
        <w:ind w:left="3105"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A9"/>
    <w:rsid w:val="00104E51"/>
    <w:rsid w:val="001744C2"/>
    <w:rsid w:val="00207C85"/>
    <w:rsid w:val="00501376"/>
    <w:rsid w:val="008E03A9"/>
    <w:rsid w:val="009F5D13"/>
    <w:rsid w:val="00D218A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4332"/>
  <w15:docId w15:val="{35FC67C1-C3D1-4C19-9349-9DD9DAAF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link w:val="Antrats"/>
    <w:uiPriority w:val="99"/>
    <w:qFormat/>
    <w:rsid w:val="009B5169"/>
    <w:rPr>
      <w:rFonts w:ascii="TimesLT" w:hAnsi="TimesLT"/>
      <w:sz w:val="26"/>
      <w:lang w:val="lt-LT" w:eastAsia="lt-LT" w:bidi="ar-SA"/>
    </w:rPr>
  </w:style>
  <w:style w:type="character" w:styleId="Puslapionumeris">
    <w:name w:val="page number"/>
    <w:basedOn w:val="Numatytasispastraiposriftas"/>
    <w:qFormat/>
  </w:style>
  <w:style w:type="character" w:customStyle="1" w:styleId="PagrindinistekstasDiagrama">
    <w:name w:val="Pagrindinis tekstas Diagrama"/>
    <w:link w:val="Pagrindinistekstas"/>
    <w:qFormat/>
    <w:rsid w:val="009A5D31"/>
    <w:rPr>
      <w:sz w:val="24"/>
      <w:lang w:val="lt-LT" w:eastAsia="lt-LT" w:bidi="ar-SA"/>
    </w:rPr>
  </w:style>
  <w:style w:type="character" w:styleId="Hipersaitas">
    <w:name w:val="Hyperlink"/>
    <w:rsid w:val="00844208"/>
    <w:rPr>
      <w:color w:val="000000"/>
      <w:u w:val="single"/>
    </w:rPr>
  </w:style>
  <w:style w:type="character" w:customStyle="1" w:styleId="DiagramaDiagrama2">
    <w:name w:val="Diagrama Diagrama2"/>
    <w:qFormat/>
    <w:rsid w:val="00AF3CD2"/>
    <w:rPr>
      <w:rFonts w:ascii="TimesLT" w:hAnsi="TimesLT"/>
      <w:sz w:val="26"/>
      <w:lang w:val="en-US" w:eastAsia="lt-LT" w:bidi="ar-SA"/>
    </w:rPr>
  </w:style>
  <w:style w:type="character" w:styleId="Eilutsnumeris">
    <w:name w:val="line number"/>
    <w:qFormat/>
    <w:rsid w:val="009A009C"/>
  </w:style>
  <w:style w:type="character" w:customStyle="1" w:styleId="DiagramaDiagrama3">
    <w:name w:val="Diagrama Diagrama3"/>
    <w:qFormat/>
    <w:rsid w:val="003C32A8"/>
    <w:rPr>
      <w:rFonts w:ascii="TimesLT" w:hAnsi="TimesLT"/>
      <w:sz w:val="26"/>
      <w:lang w:val="lt-LT" w:eastAsia="lt-LT" w:bidi="ar-SA"/>
    </w:rPr>
  </w:style>
  <w:style w:type="character" w:customStyle="1" w:styleId="typewriter">
    <w:name w:val="typewriter"/>
    <w:basedOn w:val="Numatytasispastraiposriftas"/>
    <w:qFormat/>
    <w:rsid w:val="00FA3DA3"/>
  </w:style>
  <w:style w:type="character" w:customStyle="1" w:styleId="PavadinimasDiagrama">
    <w:name w:val="Pavadinimas Diagrama"/>
    <w:link w:val="pavadinimas"/>
    <w:qFormat/>
    <w:rsid w:val="001F1844"/>
    <w:rPr>
      <w:b/>
      <w:sz w:val="28"/>
      <w:lang w:val="lt-LT" w:eastAsia="lt-LT" w:bidi="ar-SA"/>
    </w:rPr>
  </w:style>
  <w:style w:type="character" w:customStyle="1" w:styleId="DiagramaDiagrama4">
    <w:name w:val="Diagrama Diagrama4"/>
    <w:qFormat/>
    <w:rsid w:val="00FC6850"/>
    <w:rPr>
      <w:rFonts w:ascii="TimesLT" w:eastAsia="Times New Roman" w:hAnsi="TimesLT" w:cs="Times New Roman"/>
      <w:sz w:val="26"/>
      <w:szCs w:val="20"/>
    </w:rPr>
  </w:style>
  <w:style w:type="character" w:customStyle="1" w:styleId="Antrat1Diagrama">
    <w:name w:val="Antraštė 1 Diagrama"/>
    <w:basedOn w:val="Numatytasispastraiposriftas"/>
    <w:link w:val="Antrat1"/>
    <w:qFormat/>
    <w:rsid w:val="00B91A0A"/>
    <w:rPr>
      <w:b/>
      <w:sz w:val="26"/>
    </w:rPr>
  </w:style>
  <w:style w:type="character" w:customStyle="1" w:styleId="PoratDiagrama">
    <w:name w:val="Poraštė Diagrama"/>
    <w:basedOn w:val="Numatytasispastraiposriftas"/>
    <w:link w:val="Porat"/>
    <w:qFormat/>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qFormat/>
    <w:rsid w:val="00B91A0A"/>
    <w:rPr>
      <w:rFonts w:ascii="Tahoma" w:hAnsi="Tahoma" w:cs="Tahoma"/>
      <w:sz w:val="16"/>
      <w:szCs w:val="16"/>
    </w:rPr>
  </w:style>
  <w:style w:type="character" w:styleId="Komentaronuoroda">
    <w:name w:val="annotation reference"/>
    <w:basedOn w:val="Numatytasispastraiposriftas"/>
    <w:semiHidden/>
    <w:unhideWhenUsed/>
    <w:qFormat/>
    <w:rsid w:val="00C93E0C"/>
    <w:rPr>
      <w:sz w:val="16"/>
      <w:szCs w:val="16"/>
    </w:rPr>
  </w:style>
  <w:style w:type="character" w:customStyle="1" w:styleId="KomentarotekstasDiagrama">
    <w:name w:val="Komentaro tekstas Diagrama"/>
    <w:basedOn w:val="Numatytasispastraiposriftas"/>
    <w:link w:val="Komentarotekstas"/>
    <w:semiHidden/>
    <w:qFormat/>
    <w:rsid w:val="00C93E0C"/>
    <w:rPr>
      <w:rFonts w:ascii="TimesLT" w:hAnsi="TimesLT"/>
    </w:rPr>
  </w:style>
  <w:style w:type="character" w:customStyle="1" w:styleId="KomentarotemaDiagrama">
    <w:name w:val="Komentaro tema Diagrama"/>
    <w:basedOn w:val="KomentarotekstasDiagrama"/>
    <w:link w:val="Komentarotema"/>
    <w:semiHidden/>
    <w:qFormat/>
    <w:rsid w:val="00C93E0C"/>
    <w:rPr>
      <w:rFonts w:ascii="TimesLT" w:hAnsi="TimesLT"/>
      <w:b/>
      <w:bCs/>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link w:val="PagrindinistekstasDiagrama"/>
    <w:pPr>
      <w:tabs>
        <w:tab w:val="left" w:pos="0"/>
        <w:tab w:val="left" w:pos="993"/>
      </w:tabs>
      <w:spacing w:line="360" w:lineRule="auto"/>
    </w:pPr>
    <w:rPr>
      <w:rFonts w:ascii="Times New Roman" w:hAnsi="Times New Roman"/>
      <w:sz w:val="24"/>
    </w:r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customStyle="1" w:styleId="HeaderandFooter">
    <w:name w:val="Header and Footer"/>
    <w:basedOn w:val="prastasis"/>
    <w:qFormat/>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pPr>
      <w:tabs>
        <w:tab w:val="center" w:pos="4153"/>
        <w:tab w:val="right" w:pos="8306"/>
      </w:tabs>
    </w:pPr>
  </w:style>
  <w:style w:type="paragraph" w:styleId="Pagrindiniotekstotrauka">
    <w:name w:val="Body Text Indent"/>
    <w:basedOn w:val="prastasis"/>
    <w:pPr>
      <w:ind w:firstLine="1276"/>
    </w:pPr>
    <w:rPr>
      <w:rFonts w:ascii="Times New Roman" w:hAnsi="Times New Roman"/>
      <w:lang w:eastAsia="en-US"/>
    </w:rPr>
  </w:style>
  <w:style w:type="paragraph" w:styleId="Pavadinimas0">
    <w:name w:val="Title"/>
    <w:basedOn w:val="prastasis"/>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otekstotrauka2">
    <w:name w:val="Body Text Indent 2"/>
    <w:basedOn w:val="prastasis"/>
    <w:qFormat/>
    <w:pPr>
      <w:spacing w:line="360" w:lineRule="auto"/>
      <w:ind w:firstLine="720"/>
      <w:jc w:val="both"/>
    </w:pPr>
    <w:rPr>
      <w:rFonts w:ascii="Times New Roman" w:hAnsi="Times New Roman"/>
      <w:sz w:val="24"/>
    </w:rPr>
  </w:style>
  <w:style w:type="paragraph" w:styleId="HTMLiankstoformatuotas">
    <w:name w:val="HTML Preformatted"/>
    <w:basedOn w:val="prastasis"/>
    <w:qFormat/>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qFormat/>
    <w:rsid w:val="00016859"/>
    <w:pPr>
      <w:spacing w:after="120" w:line="480" w:lineRule="auto"/>
    </w:pPr>
  </w:style>
  <w:style w:type="paragraph" w:customStyle="1" w:styleId="Pagrindinistekstas1">
    <w:name w:val="Pagrindinis tekstas1"/>
    <w:qFormat/>
    <w:rsid w:val="009A5D31"/>
    <w:pPr>
      <w:snapToGrid w:val="0"/>
      <w:ind w:firstLine="312"/>
      <w:jc w:val="both"/>
    </w:pPr>
    <w:rPr>
      <w:rFonts w:ascii="TimesLT" w:hAnsi="TimesLT"/>
      <w:sz w:val="26"/>
      <w:lang w:val="en-US" w:eastAsia="en-US"/>
    </w:rPr>
  </w:style>
  <w:style w:type="paragraph" w:styleId="Pagrindinistekstas3">
    <w:name w:val="Body Text 3"/>
    <w:basedOn w:val="prastasis"/>
    <w:qFormat/>
    <w:rsid w:val="001A47E0"/>
    <w:pPr>
      <w:spacing w:after="120"/>
    </w:pPr>
    <w:rPr>
      <w:sz w:val="16"/>
      <w:szCs w:val="16"/>
    </w:rPr>
  </w:style>
  <w:style w:type="paragraph" w:styleId="Pagrindiniotekstotrauka3">
    <w:name w:val="Body Text Indent 3"/>
    <w:basedOn w:val="prastasis"/>
    <w:qFormat/>
    <w:rsid w:val="001A47E0"/>
    <w:pPr>
      <w:spacing w:after="120"/>
      <w:ind w:left="283"/>
    </w:pPr>
    <w:rPr>
      <w:sz w:val="16"/>
      <w:szCs w:val="16"/>
    </w:rPr>
  </w:style>
  <w:style w:type="paragraph" w:customStyle="1" w:styleId="CharDiagramaDiagramaChar">
    <w:name w:val="Char Diagrama Diagrama Char"/>
    <w:basedOn w:val="prastasis"/>
    <w:qFormat/>
    <w:rsid w:val="00685410"/>
    <w:pPr>
      <w:spacing w:after="160" w:line="240" w:lineRule="exact"/>
    </w:pPr>
    <w:rPr>
      <w:rFonts w:ascii="Tahoma" w:hAnsi="Tahoma"/>
      <w:sz w:val="20"/>
      <w:lang w:val="en-US" w:eastAsia="en-US"/>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qFormat/>
    <w:rsid w:val="000A3318"/>
    <w:pPr>
      <w:tabs>
        <w:tab w:val="left" w:pos="1304"/>
        <w:tab w:val="left" w:pos="1457"/>
        <w:tab w:val="left" w:pos="1604"/>
        <w:tab w:val="left" w:pos="1757"/>
      </w:tabs>
      <w:snapToGrid w:val="0"/>
      <w:ind w:left="5953"/>
    </w:pPr>
    <w:rPr>
      <w:rFonts w:ascii="TimesLT" w:hAnsi="TimesLT"/>
      <w:sz w:val="26"/>
      <w:lang w:val="en-US" w:eastAsia="en-US"/>
    </w:rPr>
  </w:style>
  <w:style w:type="paragraph" w:styleId="prastasiniatinklio">
    <w:name w:val="Normal (Web)"/>
    <w:basedOn w:val="prastasis"/>
    <w:qFormat/>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qFormat/>
    <w:rsid w:val="00A22E6D"/>
    <w:pPr>
      <w:shd w:val="clear" w:color="auto" w:fill="000080"/>
    </w:pPr>
    <w:rPr>
      <w:rFonts w:ascii="Tahoma" w:hAnsi="Tahoma" w:cs="Tahoma"/>
      <w:sz w:val="20"/>
      <w:lang w:val="en-US"/>
    </w:rPr>
  </w:style>
  <w:style w:type="paragraph" w:customStyle="1" w:styleId="TableContents">
    <w:name w:val="Table Contents"/>
    <w:basedOn w:val="prastasis"/>
    <w:qFormat/>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paragraph" w:styleId="Debesliotekstas">
    <w:name w:val="Balloon Text"/>
    <w:basedOn w:val="prastasis"/>
    <w:link w:val="DebesliotekstasDiagrama"/>
    <w:uiPriority w:val="99"/>
    <w:semiHidden/>
    <w:qFormat/>
    <w:rsid w:val="00C926F9"/>
    <w:rPr>
      <w:rFonts w:ascii="Tahoma" w:hAnsi="Tahoma" w:cs="Tahoma"/>
      <w:sz w:val="16"/>
      <w:szCs w:val="16"/>
    </w:rPr>
  </w:style>
  <w:style w:type="paragraph" w:customStyle="1" w:styleId="DefaultLTNotizen">
    <w:name w:val="Default~LT~Notizen"/>
    <w:qFormat/>
    <w:rsid w:val="00FC6850"/>
    <w:pPr>
      <w:ind w:left="340" w:hanging="340"/>
    </w:pPr>
    <w:rPr>
      <w:rFonts w:ascii="Tahoma" w:eastAsia="Arial Unicode MS" w:hAnsi="Tahoma" w:cs="Tahoma"/>
      <w:color w:val="FFFFFF"/>
      <w:kern w:val="2"/>
      <w:sz w:val="40"/>
      <w:szCs w:val="40"/>
    </w:rPr>
  </w:style>
  <w:style w:type="paragraph" w:customStyle="1" w:styleId="Siaiptekstas">
    <w:name w:val="Siaip tekstas"/>
    <w:basedOn w:val="prastasis"/>
    <w:autoRedefine/>
    <w:qFormat/>
    <w:rsid w:val="00B61FA2"/>
    <w:pPr>
      <w:ind w:firstLine="396"/>
      <w:jc w:val="both"/>
    </w:pPr>
    <w:rPr>
      <w:rFonts w:ascii="Times New Roman" w:hAnsi="Times New Roman"/>
      <w:sz w:val="24"/>
      <w:szCs w:val="24"/>
      <w:lang w:eastAsia="en-US"/>
    </w:rPr>
  </w:style>
  <w:style w:type="paragraph" w:customStyle="1" w:styleId="Linija">
    <w:name w:val="Linija"/>
    <w:basedOn w:val="prastasis"/>
    <w:qFormat/>
    <w:rsid w:val="00C24B49"/>
    <w:pPr>
      <w:snapToGrid w:val="0"/>
      <w:jc w:val="center"/>
    </w:pPr>
    <w:rPr>
      <w:sz w:val="12"/>
      <w:lang w:val="en-US" w:eastAsia="en-US"/>
    </w:rPr>
  </w:style>
  <w:style w:type="paragraph" w:customStyle="1" w:styleId="Pagrindiniotekstotrauka21">
    <w:name w:val="Pagrindinio teksto įtrauka 21"/>
    <w:basedOn w:val="prastasis"/>
    <w:qFormat/>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paragraph" w:customStyle="1" w:styleId="pavadinimas">
    <w:name w:val="pavadinimas"/>
    <w:basedOn w:val="prastasis"/>
    <w:link w:val="PavadinimasDiagrama"/>
    <w:qFormat/>
    <w:rsid w:val="00D42226"/>
    <w:pPr>
      <w:spacing w:beforeAutospacing="1" w:afterAutospacing="1"/>
    </w:pPr>
    <w:rPr>
      <w:rFonts w:ascii="Times New Roman" w:hAnsi="Times New Roman"/>
      <w:sz w:val="24"/>
      <w:szCs w:val="24"/>
    </w:rPr>
  </w:style>
  <w:style w:type="paragraph" w:customStyle="1" w:styleId="Hyperlink1">
    <w:name w:val="Hyperlink1"/>
    <w:qFormat/>
    <w:rsid w:val="00B91A0A"/>
    <w:pPr>
      <w:ind w:firstLine="312"/>
      <w:jc w:val="both"/>
    </w:pPr>
    <w:rPr>
      <w:rFonts w:ascii="TimesLT" w:hAnsi="TimesLT"/>
      <w:sz w:val="26"/>
      <w:lang w:val="en-US" w:eastAsia="en-US"/>
    </w:rPr>
  </w:style>
  <w:style w:type="paragraph" w:styleId="Komentarotekstas">
    <w:name w:val="annotation text"/>
    <w:basedOn w:val="prastasis"/>
    <w:link w:val="KomentarotekstasDiagrama"/>
    <w:semiHidden/>
    <w:unhideWhenUsed/>
    <w:qFormat/>
    <w:rsid w:val="00C93E0C"/>
    <w:rPr>
      <w:sz w:val="20"/>
    </w:rPr>
  </w:style>
  <w:style w:type="paragraph" w:styleId="Komentarotema">
    <w:name w:val="annotation subject"/>
    <w:basedOn w:val="Komentarotekstas"/>
    <w:next w:val="Komentarotekstas"/>
    <w:link w:val="KomentarotemaDiagrama"/>
    <w:semiHidden/>
    <w:unhideWhenUsed/>
    <w:qFormat/>
    <w:rsid w:val="00C93E0C"/>
    <w:rPr>
      <w:b/>
      <w:bCs/>
    </w:rPr>
  </w:style>
  <w:style w:type="paragraph" w:customStyle="1" w:styleId="FrameContents">
    <w:name w:val="Frame Contents"/>
    <w:basedOn w:val="prastasis"/>
    <w:qFormat/>
  </w:style>
  <w:style w:type="numbering" w:customStyle="1" w:styleId="Sraonra1">
    <w:name w:val="Sąrašo nėra1"/>
    <w:uiPriority w:val="99"/>
    <w:semiHidden/>
    <w:unhideWhenUsed/>
    <w:qFormat/>
    <w:rsid w:val="00B91A0A"/>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59"/>
    <w:rsid w:val="00B730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5362</Words>
  <Characters>3057</Characters>
  <Application>Microsoft Office Word</Application>
  <DocSecurity>4</DocSecurity>
  <Lines>25</Lines>
  <Paragraphs>16</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Violeta Valančienė</cp:lastModifiedBy>
  <cp:revision>2</cp:revision>
  <cp:lastPrinted>2019-11-28T12:47:00Z</cp:lastPrinted>
  <dcterms:created xsi:type="dcterms:W3CDTF">2021-04-12T10:12:00Z</dcterms:created>
  <dcterms:modified xsi:type="dcterms:W3CDTF">2021-04-12T10:12:00Z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rajono savivaldybe</vt:lpwstr>
  </property>
  <property fmtid="{D5CDD505-2E9C-101B-9397-08002B2CF9AE}" pid="4" name="DocSecurity">
    <vt:i4>0</vt:i4>
  </property>
  <property fmtid="{D5CDD505-2E9C-101B-9397-08002B2CF9AE}" pid="5" name="HyperlinksChanged">
    <vt:bool>false</vt:bool>
  </property>
  <property fmtid="{D5CDD505-2E9C-101B-9397-08002B2CF9AE}" pid="6" name="LabbisDVSAttachmentId">
    <vt:lpwstr>cf2608d5-6233-4ea2-a763-fc41e196403d</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