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81"/>
        <w:gridCol w:w="12"/>
      </w:tblGrid>
      <w:tr w:rsidR="009D1F2B" w:rsidTr="009D1F2B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  <w:gridCol w:w="429"/>
            </w:tblGrid>
            <w:tr w:rsidR="009D1F2B" w:rsidTr="009D1F2B">
              <w:trPr>
                <w:gridAfter w:val="1"/>
                <w:wAfter w:w="429" w:type="dxa"/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3E0131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A1388C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9D1F2B" w:rsidTr="009D1F2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1F2B" w:rsidRDefault="009D1F2B" w:rsidP="009D1F2B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1F2B" w:rsidRDefault="009D1F2B" w:rsidP="009D1F2B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9D1F2B" w:rsidTr="009D1F2B">
              <w:trPr>
                <w:gridAfter w:val="1"/>
                <w:wAfter w:w="429" w:type="dxa"/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1F2B" w:rsidRDefault="009D1F2B" w:rsidP="009D1F2B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1F2B" w:rsidRPr="00435FCB" w:rsidRDefault="009D1F2B" w:rsidP="004014AE">
                  <w:pPr>
                    <w:rPr>
                      <w:sz w:val="24"/>
                      <w:szCs w:val="24"/>
                    </w:rPr>
                  </w:pPr>
                  <w:r w:rsidRPr="00435FCB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35FCB">
                    <w:rPr>
                      <w:sz w:val="24"/>
                      <w:szCs w:val="24"/>
                    </w:rPr>
                    <w:t xml:space="preserve"> m. </w:t>
                  </w:r>
                  <w:proofErr w:type="spellStart"/>
                  <w:r>
                    <w:rPr>
                      <w:sz w:val="24"/>
                      <w:szCs w:val="24"/>
                    </w:rPr>
                    <w:t>vasario</w:t>
                  </w:r>
                  <w:proofErr w:type="spellEnd"/>
                  <w:r w:rsidRPr="00435FCB">
                    <w:rPr>
                      <w:sz w:val="24"/>
                      <w:szCs w:val="24"/>
                    </w:rPr>
                    <w:t xml:space="preserve">  </w:t>
                  </w:r>
                  <w:r w:rsidR="004014AE">
                    <w:rPr>
                      <w:sz w:val="24"/>
                      <w:szCs w:val="24"/>
                    </w:rPr>
                    <w:t>19</w:t>
                  </w:r>
                  <w:r w:rsidRPr="00435FCB">
                    <w:rPr>
                      <w:sz w:val="24"/>
                      <w:szCs w:val="24"/>
                    </w:rPr>
                    <w:t xml:space="preserve">  d.</w:t>
                  </w:r>
                </w:p>
              </w:tc>
            </w:tr>
            <w:tr w:rsidR="009D1F2B" w:rsidTr="009D1F2B">
              <w:trPr>
                <w:gridAfter w:val="1"/>
                <w:wAfter w:w="429" w:type="dxa"/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1F2B" w:rsidRDefault="009D1F2B" w:rsidP="009D1F2B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1F2B" w:rsidRPr="00435FCB" w:rsidRDefault="009D1F2B" w:rsidP="009D1F2B">
                  <w:pPr>
                    <w:rPr>
                      <w:sz w:val="24"/>
                      <w:szCs w:val="24"/>
                    </w:rPr>
                  </w:pPr>
                  <w:r w:rsidRPr="00435FCB">
                    <w:rPr>
                      <w:color w:val="000000"/>
                      <w:sz w:val="24"/>
                      <w:szCs w:val="24"/>
                    </w:rPr>
                    <w:t>įsakymu Nr. AP-</w:t>
                  </w:r>
                  <w:r w:rsidR="004014AE">
                    <w:rPr>
                      <w:color w:val="000000"/>
                      <w:sz w:val="24"/>
                      <w:szCs w:val="24"/>
                    </w:rPr>
                    <w:t>227</w:t>
                  </w:r>
                </w:p>
              </w:tc>
            </w:tr>
            <w:tr w:rsidR="009D1F2B" w:rsidTr="009D1F2B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1F2B" w:rsidRDefault="009D1F2B" w:rsidP="009D1F2B"/>
              </w:tc>
            </w:tr>
            <w:tr w:rsidR="009D1F2B" w:rsidTr="009D1F2B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1F2B" w:rsidRDefault="009D1F2B" w:rsidP="009D1F2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9D1F2B" w:rsidTr="009D1F2B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1F2B" w:rsidRDefault="009D1F2B" w:rsidP="009D1F2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ŠVIETIMO SKYRIAUS VEDĖJO</w:t>
                  </w:r>
                </w:p>
              </w:tc>
            </w:tr>
            <w:tr w:rsidR="009D1F2B" w:rsidTr="009D1F2B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1F2B" w:rsidRDefault="009D1F2B" w:rsidP="009D1F2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3E0131" w:rsidRDefault="003E0131"/>
        </w:tc>
        <w:tc>
          <w:tcPr>
            <w:tcW w:w="13" w:type="dxa"/>
          </w:tcPr>
          <w:p w:rsidR="003E0131" w:rsidRDefault="003E0131">
            <w:pPr>
              <w:pStyle w:val="EmptyLayoutCell"/>
            </w:pPr>
          </w:p>
        </w:tc>
      </w:tr>
      <w:tr w:rsidR="003E0131">
        <w:trPr>
          <w:trHeight w:val="349"/>
        </w:trPr>
        <w:tc>
          <w:tcPr>
            <w:tcW w:w="13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9055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3" w:type="dxa"/>
          </w:tcPr>
          <w:p w:rsidR="003E0131" w:rsidRDefault="003E0131">
            <w:pPr>
              <w:pStyle w:val="EmptyLayoutCell"/>
            </w:pPr>
          </w:p>
        </w:tc>
      </w:tr>
      <w:tr w:rsidR="009D1F2B" w:rsidTr="009D1F2B">
        <w:tc>
          <w:tcPr>
            <w:tcW w:w="13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961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9"/>
            </w:tblGrid>
            <w:tr w:rsidR="003E0131" w:rsidTr="009D1F2B">
              <w:trPr>
                <w:trHeight w:val="72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A1388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3E0131" w:rsidRDefault="00A1388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3E0131" w:rsidTr="009D1F2B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A1388C">
                  <w:r>
                    <w:rPr>
                      <w:color w:val="000000"/>
                      <w:sz w:val="24"/>
                    </w:rPr>
                    <w:t>1. Pareigybės lygmuo – V pareigybės lygmuo.</w:t>
                  </w:r>
                </w:p>
              </w:tc>
            </w:tr>
            <w:tr w:rsidR="003E0131" w:rsidTr="009D1F2B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A1388C" w:rsidP="009D1F2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:rsidR="003E0131" w:rsidRDefault="003E0131"/>
        </w:tc>
      </w:tr>
      <w:tr w:rsidR="003E0131">
        <w:trPr>
          <w:trHeight w:val="120"/>
        </w:trPr>
        <w:tc>
          <w:tcPr>
            <w:tcW w:w="13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9055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3" w:type="dxa"/>
          </w:tcPr>
          <w:p w:rsidR="003E0131" w:rsidRDefault="003E0131">
            <w:pPr>
              <w:pStyle w:val="EmptyLayoutCell"/>
            </w:pPr>
          </w:p>
        </w:tc>
      </w:tr>
      <w:tr w:rsidR="009D1F2B" w:rsidTr="009D1F2B">
        <w:tc>
          <w:tcPr>
            <w:tcW w:w="13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E0131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A1388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3E0131" w:rsidRDefault="00A1388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E0131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E013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E0131" w:rsidRDefault="00A1388C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3E013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E0131" w:rsidRDefault="00A1388C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3E013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E0131" w:rsidRDefault="00A1388C">
                        <w:r>
                          <w:rPr>
                            <w:color w:val="000000"/>
                            <w:sz w:val="24"/>
                          </w:rPr>
                          <w:t>5. Veiklos planavimas.</w:t>
                        </w:r>
                      </w:p>
                    </w:tc>
                  </w:tr>
                </w:tbl>
                <w:p w:rsidR="003E0131" w:rsidRDefault="003E0131"/>
              </w:tc>
            </w:tr>
          </w:tbl>
          <w:p w:rsidR="003E0131" w:rsidRDefault="003E0131"/>
        </w:tc>
      </w:tr>
      <w:tr w:rsidR="003E0131">
        <w:trPr>
          <w:trHeight w:val="126"/>
        </w:trPr>
        <w:tc>
          <w:tcPr>
            <w:tcW w:w="13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9055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3" w:type="dxa"/>
          </w:tcPr>
          <w:p w:rsidR="003E0131" w:rsidRDefault="003E0131">
            <w:pPr>
              <w:pStyle w:val="EmptyLayoutCell"/>
            </w:pPr>
          </w:p>
        </w:tc>
      </w:tr>
      <w:tr w:rsidR="009D1F2B" w:rsidTr="009D1F2B">
        <w:tc>
          <w:tcPr>
            <w:tcW w:w="13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9"/>
            </w:tblGrid>
            <w:tr w:rsidR="003E0131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A1388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3E0131" w:rsidRDefault="00A1388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E0131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619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19"/>
                  </w:tblGrid>
                  <w:tr w:rsidR="003E0131" w:rsidTr="009D1F2B">
                    <w:trPr>
                      <w:trHeight w:val="260"/>
                    </w:trPr>
                    <w:tc>
                      <w:tcPr>
                        <w:tcW w:w="961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E0131" w:rsidRDefault="00A1388C">
                        <w:r>
                          <w:rPr>
                            <w:color w:val="000000"/>
                            <w:sz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Švietimo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politikos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savivaldybėje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3E0131" w:rsidTr="009D1F2B">
                    <w:trPr>
                      <w:trHeight w:val="260"/>
                    </w:trPr>
                    <w:tc>
                      <w:tcPr>
                        <w:tcW w:w="961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E0131" w:rsidRDefault="00A1388C" w:rsidP="009D1F2B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7.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Savivaldybės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švietimo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biudžetinių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įstaigų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kurių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steigėja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dalininkė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yra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Savivaldybė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veiklos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koordinavimas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3E0131" w:rsidTr="009D1F2B">
                    <w:trPr>
                      <w:trHeight w:val="260"/>
                    </w:trPr>
                    <w:tc>
                      <w:tcPr>
                        <w:tcW w:w="961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E0131" w:rsidRDefault="00A1388C">
                        <w:r>
                          <w:rPr>
                            <w:color w:val="000000"/>
                            <w:sz w:val="24"/>
                          </w:rPr>
                          <w:t>8. Skyriaus darbo planavimas ir organizavimas.</w:t>
                        </w:r>
                      </w:p>
                    </w:tc>
                  </w:tr>
                </w:tbl>
                <w:p w:rsidR="003E0131" w:rsidRDefault="003E0131"/>
              </w:tc>
            </w:tr>
          </w:tbl>
          <w:p w:rsidR="003E0131" w:rsidRDefault="003E0131"/>
        </w:tc>
      </w:tr>
      <w:tr w:rsidR="003E0131">
        <w:trPr>
          <w:trHeight w:val="100"/>
        </w:trPr>
        <w:tc>
          <w:tcPr>
            <w:tcW w:w="13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9055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3" w:type="dxa"/>
          </w:tcPr>
          <w:p w:rsidR="003E0131" w:rsidRDefault="003E0131">
            <w:pPr>
              <w:pStyle w:val="EmptyLayoutCell"/>
            </w:pPr>
          </w:p>
        </w:tc>
      </w:tr>
      <w:tr w:rsidR="009D1F2B" w:rsidTr="009D1F2B">
        <w:tc>
          <w:tcPr>
            <w:tcW w:w="13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E0131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A1388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3E0131" w:rsidRDefault="00A1388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3E0131" w:rsidRDefault="003E0131"/>
        </w:tc>
      </w:tr>
      <w:tr w:rsidR="003E0131">
        <w:trPr>
          <w:trHeight w:val="39"/>
        </w:trPr>
        <w:tc>
          <w:tcPr>
            <w:tcW w:w="13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9055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3" w:type="dxa"/>
          </w:tcPr>
          <w:p w:rsidR="003E0131" w:rsidRDefault="003E0131">
            <w:pPr>
              <w:pStyle w:val="EmptyLayoutCell"/>
            </w:pPr>
          </w:p>
        </w:tc>
      </w:tr>
      <w:tr w:rsidR="009D1F2B" w:rsidTr="009D1F2B">
        <w:tc>
          <w:tcPr>
            <w:tcW w:w="13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408"/>
            </w:tblGrid>
            <w:tr w:rsidR="003E0131" w:rsidTr="009D1F2B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A1388C" w:rsidP="009D1F2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9. Įstaigos vadovui pavedus atstovauja įstaigai santykiuose su kitomis įstaigomis, organizacijomis bei fiziniais asmenimis.</w:t>
                  </w:r>
                </w:p>
              </w:tc>
            </w:tr>
            <w:tr w:rsidR="003E0131" w:rsidTr="009D1F2B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A1388C" w:rsidP="009D1F2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10. Konsultuoja su struktūrinio padalinio veikla susijusiais klausimais.</w:t>
                  </w:r>
                </w:p>
              </w:tc>
            </w:tr>
            <w:tr w:rsidR="003E0131" w:rsidTr="009D1F2B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A1388C" w:rsidP="009D1F2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11. Priima su struktūrinio padalinio veikla susijusius sprendimus.</w:t>
                  </w:r>
                </w:p>
              </w:tc>
            </w:tr>
            <w:tr w:rsidR="003E0131" w:rsidTr="009D1F2B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A1388C" w:rsidP="009D1F2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12. Rengia ir teikia pasiūlymus su struktūrinio padalinio veikla susijusiais klausimais.</w:t>
                  </w:r>
                </w:p>
              </w:tc>
            </w:tr>
            <w:tr w:rsidR="003E0131" w:rsidTr="009D1F2B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A1388C" w:rsidP="009D1F2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Vadovauja struktūrinio padalinio veiklos vykdymui aktualios informacijos apdorojimui arba prireikus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aktualią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E0131" w:rsidTr="009D1F2B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A1388C" w:rsidP="009D1F2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14. Vadovauja struktūrinio padalinio veiklų vykdymui arba prireikus vykdo struktūrinio padalinio veiklas.</w:t>
                  </w:r>
                </w:p>
              </w:tc>
            </w:tr>
            <w:tr w:rsidR="003E0131" w:rsidTr="009D1F2B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A1388C" w:rsidP="009D1F2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15.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3E0131" w:rsidTr="009D1F2B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A1388C" w:rsidP="009D1F2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16.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3E0131">
              <w:trPr>
                <w:gridAfter w:val="1"/>
                <w:wAfter w:w="40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A1388C" w:rsidP="009D1F2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17. Valdo struktūrinio padalinio žmogiškuosius išteklius teisės aktų nustatyta tvarka.</w:t>
                  </w:r>
                </w:p>
              </w:tc>
            </w:tr>
          </w:tbl>
          <w:p w:rsidR="003E0131" w:rsidRDefault="003E0131"/>
        </w:tc>
      </w:tr>
      <w:tr w:rsidR="003E0131">
        <w:trPr>
          <w:trHeight w:val="20"/>
        </w:trPr>
        <w:tc>
          <w:tcPr>
            <w:tcW w:w="13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9055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3" w:type="dxa"/>
          </w:tcPr>
          <w:p w:rsidR="003E0131" w:rsidRDefault="003E0131">
            <w:pPr>
              <w:pStyle w:val="EmptyLayoutCell"/>
            </w:pPr>
          </w:p>
        </w:tc>
      </w:tr>
      <w:tr w:rsidR="009D1F2B" w:rsidTr="009D1F2B">
        <w:tc>
          <w:tcPr>
            <w:tcW w:w="13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3E0131" w:rsidTr="009D1F2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A1388C" w:rsidP="009D1F2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steigėja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dalininkė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patvirtintą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Administracijos direktoriui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tobulinimo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prieinamumo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gerinimo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E0131" w:rsidTr="009D1F2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A1388C" w:rsidP="009D1F2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Nagrinėja prašymus ir kitus dokumentus sudėtingais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sprendimus ir atsakymus arba prireikus koordinuoja prašymų ir kitų dokumentų sudėtingais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sprendimų ir atsakymų rengimą.</w:t>
                  </w:r>
                </w:p>
              </w:tc>
            </w:tr>
            <w:tr w:rsidR="003E0131" w:rsidTr="009D1F2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A1388C" w:rsidP="009D1F2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Derina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sąmatų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būsimųjų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sudarymui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Šiaulių miesto savivaldybės administracijos Finansų kontrolės taisyklėse nustatytas finansų kontrolės funkcijas.</w:t>
                  </w:r>
                </w:p>
              </w:tc>
            </w:tr>
            <w:tr w:rsidR="003E0131" w:rsidTr="009D1F2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A1388C" w:rsidP="009D1F2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prieinamumo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kokybės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užtikrinimo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įgyvendinimą.</w:t>
                  </w:r>
                </w:p>
              </w:tc>
            </w:tr>
            <w:tr w:rsidR="003E0131" w:rsidTr="009D1F2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A1388C" w:rsidP="009D1F2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teritorijoje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esančių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mokyklų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brandos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egzaminų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vertinimą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išduoda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brandos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egzaminų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medžiagą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brandos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egzaminų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centrų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vyresniesiems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vykdytojams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vadovams.</w:t>
                  </w:r>
                </w:p>
              </w:tc>
            </w:tr>
          </w:tbl>
          <w:p w:rsidR="003E0131" w:rsidRDefault="003E0131"/>
        </w:tc>
      </w:tr>
      <w:tr w:rsidR="003E0131">
        <w:trPr>
          <w:trHeight w:val="20"/>
        </w:trPr>
        <w:tc>
          <w:tcPr>
            <w:tcW w:w="13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9055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3" w:type="dxa"/>
          </w:tcPr>
          <w:p w:rsidR="003E0131" w:rsidRDefault="003E0131">
            <w:pPr>
              <w:pStyle w:val="EmptyLayoutCell"/>
            </w:pPr>
          </w:p>
        </w:tc>
      </w:tr>
      <w:tr w:rsidR="009D1F2B" w:rsidTr="009D1F2B">
        <w:tc>
          <w:tcPr>
            <w:tcW w:w="13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E013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A1388C">
                  <w:r>
                    <w:rPr>
                      <w:color w:val="000000"/>
                      <w:sz w:val="24"/>
                    </w:rPr>
                    <w:t>23. Vykdo kitus nenuolatinio pobūdžio su struktūrinio padalinio veikla susijusius pavedimus.</w:t>
                  </w:r>
                </w:p>
              </w:tc>
            </w:tr>
          </w:tbl>
          <w:p w:rsidR="003E0131" w:rsidRDefault="003E0131"/>
        </w:tc>
      </w:tr>
      <w:tr w:rsidR="003E0131">
        <w:trPr>
          <w:trHeight w:val="139"/>
        </w:trPr>
        <w:tc>
          <w:tcPr>
            <w:tcW w:w="13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9055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3" w:type="dxa"/>
          </w:tcPr>
          <w:p w:rsidR="003E0131" w:rsidRDefault="003E0131">
            <w:pPr>
              <w:pStyle w:val="EmptyLayoutCell"/>
            </w:pPr>
          </w:p>
        </w:tc>
      </w:tr>
      <w:tr w:rsidR="009D1F2B" w:rsidTr="009D1F2B">
        <w:tc>
          <w:tcPr>
            <w:tcW w:w="13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93"/>
            </w:tblGrid>
            <w:tr w:rsidR="003E0131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A1388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3E0131" w:rsidRDefault="00A1388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3E013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A1388C">
                  <w:r>
                    <w:rPr>
                      <w:color w:val="000000"/>
                      <w:sz w:val="24"/>
                    </w:rPr>
                    <w:t>24. Išsilavinimo ir darbo patirties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E0131">
              <w:trPr>
                <w:trHeight w:val="20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4"/>
                  </w:tblGrid>
                  <w:tr w:rsidR="003E0131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4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3E0131" w:rsidTr="009D1F2B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E0131" w:rsidRDefault="00A1388C" w:rsidP="009D1F2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24.1.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3E0131" w:rsidTr="009D1F2B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E0131" w:rsidRDefault="00A1388C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24.2.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pedagogika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3E0131" w:rsidTr="009D1F2B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E0131" w:rsidRDefault="00A1388C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24.3.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edukologija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3E0131" w:rsidTr="009D1F2B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E0131" w:rsidRDefault="00A1388C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24.4.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andragogika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3E0131" w:rsidTr="009D1F2B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E0131" w:rsidRDefault="00A1388C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24.5.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pedagoginio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3E0131" w:rsidTr="009D1F2B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E0131" w:rsidRDefault="00A1388C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24.6. darbo patirties trukmė – ne mažiau kaip 3 metai. </w:t>
                              </w:r>
                            </w:p>
                          </w:tc>
                        </w:tr>
                      </w:tbl>
                      <w:p w:rsidR="003E0131" w:rsidRDefault="003E0131"/>
                    </w:tc>
                  </w:tr>
                </w:tbl>
                <w:p w:rsidR="003E0131" w:rsidRDefault="003E0131"/>
              </w:tc>
            </w:tr>
            <w:tr w:rsidR="003E013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A1388C">
                  <w:r>
                    <w:rPr>
                      <w:color w:val="000000"/>
                      <w:sz w:val="24"/>
                    </w:rPr>
                    <w:t xml:space="preserve">25.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Užsienio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E0131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E013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E0131" w:rsidRDefault="00A1388C">
                        <w:r>
                          <w:rPr>
                            <w:color w:val="000000"/>
                            <w:sz w:val="24"/>
                          </w:rPr>
                          <w:t xml:space="preserve">25.1.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kalba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anglų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arba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vokiečių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arba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prancūzų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arba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rusų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</w:tbl>
                <w:p w:rsidR="003E0131" w:rsidRDefault="003E0131"/>
              </w:tc>
            </w:tr>
            <w:tr w:rsidR="003E0131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E013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E0131" w:rsidRDefault="00A1388C">
                        <w:r>
                          <w:rPr>
                            <w:color w:val="000000"/>
                            <w:sz w:val="24"/>
                          </w:rPr>
                          <w:t xml:space="preserve">25.2.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kalbos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mokėjimo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lygis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B2.</w:t>
                        </w:r>
                      </w:p>
                    </w:tc>
                  </w:tr>
                </w:tbl>
                <w:p w:rsidR="003E0131" w:rsidRDefault="003E0131"/>
              </w:tc>
            </w:tr>
            <w:tr w:rsidR="003E013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A1388C">
                  <w:r>
                    <w:rPr>
                      <w:color w:val="000000"/>
                      <w:sz w:val="24"/>
                    </w:rPr>
                    <w:t xml:space="preserve">26.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Atitikimas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reikalavimams: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E0131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595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5"/>
                  </w:tblGrid>
                  <w:tr w:rsidR="003E0131" w:rsidTr="009D1F2B">
                    <w:trPr>
                      <w:trHeight w:val="260"/>
                    </w:trPr>
                    <w:tc>
                      <w:tcPr>
                        <w:tcW w:w="959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E0131" w:rsidRDefault="00A1388C" w:rsidP="009D1F2B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26.1.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turėti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ne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mažesnę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kaip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3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metų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švietimo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organizavimo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(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patirtį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įgytą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viešojo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administravimo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institucijoje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arba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3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metų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vadovaujamo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darbo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patirtį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pareigybėje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kurią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einant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atliekamas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darbas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yra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laikomas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pedagoginiu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3E0131" w:rsidTr="009D1F2B">
                    <w:trPr>
                      <w:trHeight w:val="260"/>
                    </w:trPr>
                    <w:tc>
                      <w:tcPr>
                        <w:tcW w:w="959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E0131" w:rsidRDefault="003E0131" w:rsidP="009D1F2B">
                        <w:pPr>
                          <w:jc w:val="both"/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3E0131" w:rsidRDefault="003E0131"/>
              </w:tc>
            </w:tr>
          </w:tbl>
          <w:p w:rsidR="003E0131" w:rsidRDefault="003E0131"/>
        </w:tc>
      </w:tr>
      <w:tr w:rsidR="003E0131">
        <w:trPr>
          <w:trHeight w:val="62"/>
        </w:trPr>
        <w:tc>
          <w:tcPr>
            <w:tcW w:w="13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9055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3" w:type="dxa"/>
          </w:tcPr>
          <w:p w:rsidR="003E0131" w:rsidRDefault="003E0131">
            <w:pPr>
              <w:pStyle w:val="EmptyLayoutCell"/>
            </w:pPr>
          </w:p>
        </w:tc>
      </w:tr>
      <w:tr w:rsidR="009D1F2B" w:rsidTr="009D1F2B">
        <w:tc>
          <w:tcPr>
            <w:tcW w:w="13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E0131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A1388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3E0131" w:rsidRDefault="00A1388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3E013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A1388C">
                  <w:r>
                    <w:rPr>
                      <w:color w:val="000000"/>
                      <w:sz w:val="24"/>
                    </w:rPr>
                    <w:t>27. Bendrosios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E0131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E013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E0131" w:rsidRDefault="00A1388C">
                        <w:r>
                          <w:rPr>
                            <w:color w:val="000000"/>
                            <w:sz w:val="24"/>
                          </w:rPr>
                          <w:t>27.1. komunikacija – 5;</w:t>
                        </w:r>
                      </w:p>
                    </w:tc>
                  </w:tr>
                  <w:tr w:rsidR="003E013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E0131" w:rsidRDefault="00A1388C">
                        <w:r>
                          <w:rPr>
                            <w:color w:val="000000"/>
                            <w:sz w:val="24"/>
                          </w:rPr>
                          <w:t>27.2. analizė ir pagrindimas – 4;</w:t>
                        </w:r>
                      </w:p>
                    </w:tc>
                  </w:tr>
                  <w:tr w:rsidR="003E013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E0131" w:rsidRDefault="00A1388C">
                        <w:r>
                          <w:rPr>
                            <w:color w:val="000000"/>
                            <w:sz w:val="24"/>
                          </w:rPr>
                          <w:t>27.3. patikimumas ir atsakingumas – 4;</w:t>
                        </w:r>
                      </w:p>
                    </w:tc>
                  </w:tr>
                  <w:tr w:rsidR="003E013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E0131" w:rsidRDefault="00A1388C">
                        <w:r>
                          <w:rPr>
                            <w:color w:val="000000"/>
                            <w:sz w:val="24"/>
                          </w:rPr>
                          <w:t>27.4. organizuotumas – 4;</w:t>
                        </w:r>
                      </w:p>
                    </w:tc>
                  </w:tr>
                  <w:tr w:rsidR="003E013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E0131" w:rsidRDefault="00A1388C">
                        <w:r>
                          <w:rPr>
                            <w:color w:val="000000"/>
                            <w:sz w:val="24"/>
                          </w:rPr>
                          <w:t>27.5. vertės visuomenei kūrimas – 4.</w:t>
                        </w:r>
                      </w:p>
                    </w:tc>
                  </w:tr>
                </w:tbl>
                <w:p w:rsidR="003E0131" w:rsidRDefault="003E0131"/>
              </w:tc>
            </w:tr>
            <w:tr w:rsidR="003E013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A1388C">
                  <w:r>
                    <w:rPr>
                      <w:color w:val="000000"/>
                      <w:sz w:val="24"/>
                    </w:rPr>
                    <w:t>28. Vadybinės ir lyderystės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E0131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E013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E0131" w:rsidRDefault="00A1388C">
                        <w:r>
                          <w:rPr>
                            <w:color w:val="000000"/>
                            <w:sz w:val="24"/>
                          </w:rPr>
                          <w:lastRenderedPageBreak/>
                          <w:t>28.1. lyderystė – 4;</w:t>
                        </w:r>
                      </w:p>
                    </w:tc>
                  </w:tr>
                  <w:tr w:rsidR="003E013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E0131" w:rsidRDefault="00A1388C">
                        <w:r>
                          <w:rPr>
                            <w:color w:val="000000"/>
                            <w:sz w:val="24"/>
                          </w:rPr>
                          <w:t>28.2. veiklos valdymas – 4;</w:t>
                        </w:r>
                      </w:p>
                    </w:tc>
                  </w:tr>
                  <w:tr w:rsidR="003E013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E0131" w:rsidRDefault="00A1388C">
                        <w:r>
                          <w:rPr>
                            <w:color w:val="000000"/>
                            <w:sz w:val="24"/>
                          </w:rPr>
                          <w:t>28.3. strateginis požiūris – 4.</w:t>
                        </w:r>
                      </w:p>
                    </w:tc>
                  </w:tr>
                </w:tbl>
                <w:p w:rsidR="003E0131" w:rsidRDefault="003E0131"/>
              </w:tc>
            </w:tr>
            <w:tr w:rsidR="003E013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A1388C">
                  <w:r>
                    <w:rPr>
                      <w:color w:val="000000"/>
                      <w:sz w:val="24"/>
                    </w:rPr>
                    <w:t>29. Specifinės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E0131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E013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E0131" w:rsidRDefault="00A1388C">
                        <w:r>
                          <w:rPr>
                            <w:color w:val="000000"/>
                            <w:sz w:val="24"/>
                          </w:rPr>
                          <w:t xml:space="preserve">29.1.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4;</w:t>
                        </w:r>
                      </w:p>
                    </w:tc>
                  </w:tr>
                  <w:tr w:rsidR="003E013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E0131" w:rsidRDefault="00A1388C">
                        <w:r>
                          <w:rPr>
                            <w:color w:val="000000"/>
                            <w:sz w:val="24"/>
                          </w:rPr>
                          <w:t>29.2. informacijos valdymas – 5;</w:t>
                        </w:r>
                      </w:p>
                    </w:tc>
                  </w:tr>
                  <w:tr w:rsidR="003E013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E0131" w:rsidRDefault="00A1388C">
                        <w:r>
                          <w:rPr>
                            <w:color w:val="000000"/>
                            <w:sz w:val="24"/>
                          </w:rPr>
                          <w:t>29.3. įžvalgumas – 4.</w:t>
                        </w:r>
                      </w:p>
                    </w:tc>
                  </w:tr>
                </w:tbl>
                <w:p w:rsidR="003E0131" w:rsidRDefault="003E0131"/>
              </w:tc>
            </w:tr>
          </w:tbl>
          <w:p w:rsidR="003E0131" w:rsidRDefault="003E0131"/>
        </w:tc>
      </w:tr>
      <w:tr w:rsidR="003E0131">
        <w:trPr>
          <w:trHeight w:val="517"/>
        </w:trPr>
        <w:tc>
          <w:tcPr>
            <w:tcW w:w="13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9055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3" w:type="dxa"/>
          </w:tcPr>
          <w:p w:rsidR="003E0131" w:rsidRDefault="003E0131">
            <w:pPr>
              <w:pStyle w:val="EmptyLayoutCell"/>
            </w:pPr>
          </w:p>
        </w:tc>
      </w:tr>
      <w:tr w:rsidR="009D1F2B" w:rsidTr="009D1F2B">
        <w:tc>
          <w:tcPr>
            <w:tcW w:w="13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3E0131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A1388C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3E0131"/>
              </w:tc>
            </w:tr>
            <w:tr w:rsidR="003E0131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3E0131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3E0131"/>
              </w:tc>
            </w:tr>
            <w:tr w:rsidR="003E0131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A1388C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3E0131"/>
              </w:tc>
            </w:tr>
            <w:tr w:rsidR="003E0131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3E0131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3E0131"/>
              </w:tc>
            </w:tr>
            <w:tr w:rsidR="003E0131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A1388C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3E0131"/>
              </w:tc>
            </w:tr>
            <w:tr w:rsidR="003E0131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3E0131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3E0131"/>
              </w:tc>
            </w:tr>
            <w:tr w:rsidR="003E0131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A1388C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3E0131"/>
              </w:tc>
            </w:tr>
            <w:tr w:rsidR="003E0131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3E0131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0131" w:rsidRDefault="003E0131"/>
              </w:tc>
            </w:tr>
          </w:tbl>
          <w:p w:rsidR="003E0131" w:rsidRDefault="003E0131"/>
        </w:tc>
      </w:tr>
      <w:tr w:rsidR="003E0131">
        <w:trPr>
          <w:trHeight w:val="41"/>
        </w:trPr>
        <w:tc>
          <w:tcPr>
            <w:tcW w:w="13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9055" w:type="dxa"/>
          </w:tcPr>
          <w:p w:rsidR="003E0131" w:rsidRDefault="003E0131">
            <w:pPr>
              <w:pStyle w:val="EmptyLayoutCell"/>
            </w:pPr>
          </w:p>
        </w:tc>
        <w:tc>
          <w:tcPr>
            <w:tcW w:w="13" w:type="dxa"/>
          </w:tcPr>
          <w:p w:rsidR="003E0131" w:rsidRDefault="003E0131">
            <w:pPr>
              <w:pStyle w:val="EmptyLayoutCell"/>
            </w:pPr>
          </w:p>
        </w:tc>
      </w:tr>
    </w:tbl>
    <w:p w:rsidR="00A1388C" w:rsidRDefault="00A1388C"/>
    <w:sectPr w:rsidR="00A1388C" w:rsidSect="003F46A3">
      <w:pgSz w:w="11905" w:h="16837"/>
      <w:pgMar w:top="851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F2B"/>
    <w:rsid w:val="000B07F0"/>
    <w:rsid w:val="003E0131"/>
    <w:rsid w:val="003F46A3"/>
    <w:rsid w:val="004014AE"/>
    <w:rsid w:val="009D1F2B"/>
    <w:rsid w:val="00A1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900D2"/>
  <w15:chartTrackingRefBased/>
  <w15:docId w15:val="{ADB5F532-24F5-49E1-A435-6DCF08A1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3080</Words>
  <Characters>1757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Miglė Barzelienė</cp:lastModifiedBy>
  <cp:revision>2</cp:revision>
  <dcterms:created xsi:type="dcterms:W3CDTF">2021-08-23T08:30:00Z</dcterms:created>
  <dcterms:modified xsi:type="dcterms:W3CDTF">2021-08-23T08:30:00Z</dcterms:modified>
</cp:coreProperties>
</file>