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6237"/>
        <w:rPr>
          <w:rFonts w:ascii="Times New Roman" w:hAnsi="Times New Roman" w:cs="Times New Roman"/>
          <w:sz w:val="24"/>
          <w:szCs w:val="24"/>
        </w:rPr>
      </w:pPr>
      <w:r>
        <w:rPr>
          <w:rFonts w:cs="Times New Roman" w:ascii="Times New Roman" w:hAnsi="Times New Roman"/>
          <w:sz w:val="24"/>
          <w:szCs w:val="24"/>
        </w:rPr>
        <w:t>PATVIRTINTA</w:t>
      </w:r>
    </w:p>
    <w:p>
      <w:pPr>
        <w:pStyle w:val="Normal"/>
        <w:spacing w:lineRule="auto" w:line="240" w:before="0" w:after="0"/>
        <w:ind w:firstLine="6237"/>
        <w:rPr>
          <w:rFonts w:ascii="Times New Roman" w:hAnsi="Times New Roman" w:cs="Times New Roman"/>
          <w:sz w:val="24"/>
          <w:szCs w:val="24"/>
        </w:rPr>
      </w:pPr>
      <w:r>
        <w:rPr>
          <w:rFonts w:cs="Times New Roman" w:ascii="Times New Roman" w:hAnsi="Times New Roman"/>
          <w:sz w:val="24"/>
          <w:szCs w:val="24"/>
        </w:rPr>
        <w:t>Šiaulių miesto savivaldybės</w:t>
      </w:r>
    </w:p>
    <w:p>
      <w:pPr>
        <w:pStyle w:val="Normal"/>
        <w:spacing w:lineRule="auto" w:line="240" w:before="0" w:after="0"/>
        <w:ind w:firstLine="6237"/>
        <w:rPr>
          <w:rFonts w:ascii="Times New Roman" w:hAnsi="Times New Roman" w:cs="Times New Roman"/>
          <w:sz w:val="24"/>
          <w:szCs w:val="24"/>
        </w:rPr>
      </w:pPr>
      <w:r>
        <w:rPr>
          <w:rFonts w:cs="Times New Roman" w:ascii="Times New Roman" w:hAnsi="Times New Roman"/>
          <w:sz w:val="24"/>
          <w:szCs w:val="24"/>
        </w:rPr>
        <w:t>administracijos direktoriaus</w:t>
      </w:r>
    </w:p>
    <w:p>
      <w:pPr>
        <w:pStyle w:val="Normal"/>
        <w:spacing w:lineRule="auto" w:line="240" w:before="0" w:after="0"/>
        <w:ind w:firstLine="6237"/>
        <w:rPr>
          <w:rFonts w:ascii="Times New Roman" w:hAnsi="Times New Roman" w:cs="Times New Roman"/>
          <w:sz w:val="24"/>
          <w:szCs w:val="24"/>
        </w:rPr>
      </w:pPr>
      <w:r>
        <w:rPr>
          <w:rFonts w:cs="Times New Roman" w:ascii="Times New Roman" w:hAnsi="Times New Roman"/>
          <w:sz w:val="24"/>
          <w:szCs w:val="24"/>
        </w:rPr>
        <w:t xml:space="preserve">2022 m. vasario  d.                      </w:t>
      </w:r>
    </w:p>
    <w:p>
      <w:pPr>
        <w:pStyle w:val="Normal"/>
        <w:spacing w:lineRule="auto" w:line="240" w:before="0" w:after="0"/>
        <w:ind w:firstLine="6237"/>
        <w:rPr>
          <w:rFonts w:ascii="Times New Roman" w:hAnsi="Times New Roman" w:cs="Times New Roman"/>
          <w:sz w:val="24"/>
          <w:szCs w:val="24"/>
        </w:rPr>
      </w:pPr>
      <w:r>
        <w:rPr>
          <w:rFonts w:cs="Times New Roman" w:ascii="Times New Roman" w:hAnsi="Times New Roman"/>
          <w:sz w:val="24"/>
          <w:szCs w:val="24"/>
        </w:rPr>
        <w:t>įsakymu Nr. 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ŠIAULIŲ MIESTO SAVIVALDYBĖS ADMINISTRACIJOS</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RĖKYVOS SENIŪNIJOS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2022 M. </w:t>
      </w:r>
      <w:r>
        <w:rPr>
          <w:rFonts w:cs="Times New Roman" w:ascii="Times New Roman" w:hAnsi="Times New Roman"/>
          <w:b/>
          <w:bCs/>
          <w:sz w:val="24"/>
          <w:szCs w:val="24"/>
        </w:rPr>
        <w:t>RĖKYVOS SENIŪNIJOS METINIS</w:t>
      </w:r>
      <w:r>
        <w:rPr>
          <w:rFonts w:cs="Times New Roman" w:ascii="Times New Roman" w:hAnsi="Times New Roman"/>
          <w:b/>
          <w:bCs/>
          <w:sz w:val="24"/>
          <w:szCs w:val="24"/>
        </w:rPr>
        <w:t xml:space="preserve"> VEIKLOS PLANAS</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2022-02-08  Nr. V1-2</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Šiauliai</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I. BENDROSIOS NUOSTATOS</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1. Šiaulių miesto savivaldybės administracijos Rėkyvos seniūnijos 2022 metų veiklos planas (toliau – veiklos planas) nustato Šiaulių miesto savivaldybės administracijos Rėkyvos seniūnijos (toliau – seniūnija) tikslus, uždavinius, priemonių įgyvendinimo planą, už priemonių įgyvendinimą atsakingus asmenis, vertinimo kriterijus, lėšas veiklos planui įgyvendinti bei numatomus pasiekti rezultatus.</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2. Veiklos planas parengtas vadovaujantis Lietuvos Respublikos vietos savivaldos įstatymo 31, 32 straipsniais, 35 straipsnio 1 dalimi, kitų Lietuvos Respublikos norminių aktų nuostatomis, Šiaulių miesto savivaldybės tarybos 2016 m. lapkričio 3 d. sprendimu Nr. T-374 patvirtintu strateginio planavimo organizavimo Šiaulių miesto savivaldybėje tvarkos aprašu bei </w:t>
      </w:r>
      <w:r>
        <w:rPr>
          <w:rFonts w:cs="Times New Roman" w:ascii="Times New Roman" w:hAnsi="Times New Roman"/>
          <w:sz w:val="24"/>
          <w:szCs w:val="24"/>
          <w:highlight w:val="white"/>
        </w:rPr>
        <w:t xml:space="preserve">Šiaulių miesto tarybos 2022 m. vasario 3 d. sprendimu Nr. T-1 </w:t>
      </w:r>
      <w:r>
        <w:rPr>
          <w:rFonts w:cs="Times New Roman" w:ascii="Times New Roman" w:hAnsi="Times New Roman"/>
          <w:sz w:val="24"/>
          <w:szCs w:val="24"/>
        </w:rPr>
        <w:t xml:space="preserve">patvirtintu Šiaulių miesto savivaldybės 2022-2024 metų strateginiu veiklos planu ir Šiaulių miesto savivaldybės tarybos </w:t>
      </w:r>
      <w:r>
        <w:rPr>
          <w:rFonts w:cs="Times New Roman" w:ascii="Times New Roman" w:hAnsi="Times New Roman"/>
          <w:sz w:val="24"/>
          <w:szCs w:val="24"/>
          <w:highlight w:val="white"/>
        </w:rPr>
        <w:t>2022 m. vasario 3 d. sprendimu Nr. T-2</w:t>
      </w:r>
      <w:r>
        <w:rPr>
          <w:rFonts w:cs="Times New Roman" w:ascii="Times New Roman" w:hAnsi="Times New Roman"/>
          <w:sz w:val="24"/>
          <w:szCs w:val="24"/>
        </w:rPr>
        <w:t xml:space="preserve"> patvirtintu Šiaulių miesto savivaldybės 2022 m. biudžetu. </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II. VEIKLOS PLANO TIKSLAI</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3. Seniūnijos 2022-ųjų metų veiklos plano tikslai:</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3.1 įgyvendinti Savivaldybės pavestas funkcijas, teikti gyventojams gyvenamosios vietos deklaravimo paslaugą;</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3.2 užtikrinti kokybišką viešųjų paslaugų teikimą seniūnijos gyventojams;</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3.3 įgyvendinti Šiaulių miesto savivaldybės 2022 metų Užimtumo didinimo programą.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567"/>
        <w:contextualSpacing/>
        <w:jc w:val="center"/>
        <w:rPr>
          <w:rFonts w:ascii="Times New Roman" w:hAnsi="Times New Roman" w:cs="Times New Roman"/>
          <w:b/>
          <w:b/>
          <w:bCs/>
          <w:sz w:val="24"/>
          <w:szCs w:val="24"/>
        </w:rPr>
      </w:pPr>
      <w:r>
        <w:rPr>
          <w:rFonts w:cs="Times New Roman" w:ascii="Times New Roman" w:hAnsi="Times New Roman"/>
          <w:b/>
          <w:bCs/>
          <w:sz w:val="24"/>
          <w:szCs w:val="24"/>
        </w:rPr>
        <w:t>III. VEIKLOS PLANO UŽDAVINIAI</w:t>
      </w:r>
    </w:p>
    <w:p>
      <w:pPr>
        <w:pStyle w:val="ListParagraph"/>
        <w:spacing w:lineRule="auto" w:line="240" w:before="0" w:after="0"/>
        <w:ind w:left="0" w:firstLine="567"/>
        <w:contextualSpacing/>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4. Seniūnijos 2022-ųjų metų veiklos plano uždaviniai:</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4.1 organizuoti ir kontroliuoti Savivaldybės institucijų sprendimų įgyvendinimą;</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4.2 užtikrinti gyvenamosios vietos deklaravimo, valstybinių (perduotų savivaldybei) funkcijų vykdymą;</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4.3 tobulinti seniūnijos veiklos, žmogiškųjų išteklių valdymą;</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4.4 organizuoti ir užtikrinti viešųjų darbų ir visuomenei naudingos veiklos atlikimą;</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4.5 tvarkyti Rėkyvos seniūnijos teritorijoje esančias viešąsias erdves;</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4.6 sudaryti sąlygas racionaliam planavimui ir turimų išteklių panaudojimui;</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4.7 bendradarbiauti su bendruomenėmis;</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4.8 užtikrinti švarą ir tvarką viešose vietose.</w:t>
      </w:r>
    </w:p>
    <w:p>
      <w:pPr>
        <w:pStyle w:val="Normal"/>
        <w:spacing w:lineRule="auto" w:line="240" w:before="0" w:after="0"/>
        <w:ind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ind w:left="0" w:firstLine="567"/>
        <w:jc w:val="center"/>
        <w:rPr>
          <w:rFonts w:ascii="Times New Roman" w:hAnsi="Times New Roman" w:cs="Times New Roman"/>
          <w:b/>
          <w:b/>
          <w:bCs/>
          <w:sz w:val="24"/>
          <w:szCs w:val="24"/>
        </w:rPr>
      </w:pPr>
      <w:r>
        <w:rPr>
          <w:rFonts w:cs="Times New Roman" w:ascii="Times New Roman" w:hAnsi="Times New Roman"/>
          <w:b/>
          <w:bCs/>
          <w:sz w:val="24"/>
          <w:szCs w:val="24"/>
        </w:rPr>
        <w:t xml:space="preserve">IV. PAGRINDINIAI SENIŪNIJOS DUOMENYS </w:t>
      </w:r>
    </w:p>
    <w:p>
      <w:pPr>
        <w:pStyle w:val="ListParagraph"/>
        <w:spacing w:lineRule="auto" w:line="240"/>
        <w:ind w:lef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5. Gyventojų skaičius seniūnijoje – 5343 gyventojai:</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5.1 iki 18 metų amžiaus – 999 gyventojai;</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5.2 nuo 18 iki 65 metų amžiaus – 3394 gyventojų;</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5.3 daugiau kaip 65 metų amžiaus – 950 gyventojai.</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6. Seniūnijos plotas – 970,6 ha.</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7. Gyventojų tankis – 536,68 gyv./km.</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8. Rėkyvos seniūnijos teritorija suskirstyta į 3 seniūnaitijas:</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8.1 Bačiūnų ( 2141 gyventojai);</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8.2 Centro ( 1544 gyventojai);</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8.3 Vyturių ( 1658 gyventojai).</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9. Pareigybių skaičius seniūnijoje – 2 valstybės tarnautojai:</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9.1 seniūnas;</w:t>
      </w:r>
    </w:p>
    <w:p>
      <w:pPr>
        <w:pStyle w:val="Normal"/>
        <w:spacing w:lineRule="auto" w:line="240" w:before="0" w:after="0"/>
        <w:ind w:firstLine="851"/>
        <w:rPr>
          <w:rFonts w:ascii="Times New Roman" w:hAnsi="Times New Roman" w:cs="Times New Roman"/>
          <w:sz w:val="24"/>
          <w:szCs w:val="24"/>
        </w:rPr>
      </w:pPr>
      <w:r>
        <w:rPr>
          <w:rFonts w:cs="Times New Roman" w:ascii="Times New Roman" w:hAnsi="Times New Roman"/>
          <w:sz w:val="24"/>
          <w:szCs w:val="24"/>
        </w:rPr>
        <w:t>9.2 seniūnijos vyriausioji specialistė.</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440" w:right="1440" w:header="0" w:top="1440" w:footer="0" w:bottom="1440" w:gutter="0"/>
          <w:pgNumType w:fmt="decimal"/>
          <w:formProt w:val="false"/>
          <w:textDirection w:val="lrTb"/>
          <w:docGrid w:type="default" w:linePitch="360" w:charSpace="4096"/>
        </w:sect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WWTekstas"/>
        <w:spacing w:before="0" w:after="0"/>
        <w:jc w:val="center"/>
        <w:rPr>
          <w:rFonts w:cs="Tahoma"/>
          <w:b/>
          <w:b/>
          <w:bCs/>
        </w:rPr>
      </w:pPr>
      <w:r>
        <w:rPr>
          <w:rFonts w:cs="Tahoma"/>
          <w:b/>
          <w:bCs/>
        </w:rPr>
      </w:r>
    </w:p>
    <w:p>
      <w:pPr>
        <w:pStyle w:val="WWTekstas"/>
        <w:spacing w:before="0" w:after="0"/>
        <w:jc w:val="center"/>
        <w:rPr>
          <w:rFonts w:cs="Tahoma"/>
          <w:b/>
          <w:b/>
          <w:bCs/>
        </w:rPr>
      </w:pPr>
      <w:r>
        <w:rPr>
          <w:rFonts w:cs="Tahoma"/>
          <w:b/>
          <w:bCs/>
        </w:rPr>
        <w:t>V. PRIEMONIŲ ĮGYVENDINIMO PLANAS</w:t>
      </w:r>
    </w:p>
    <w:p>
      <w:pPr>
        <w:pStyle w:val="WWTekstas"/>
        <w:spacing w:before="0" w:after="0"/>
        <w:jc w:val="center"/>
        <w:rPr>
          <w:rFonts w:cs="Tahoma"/>
          <w:b/>
          <w:b/>
          <w:bCs/>
        </w:rPr>
      </w:pPr>
      <w:r>
        <w:rPr>
          <w:rFonts w:cs="Tahoma"/>
          <w:b/>
          <w:bCs/>
        </w:rPr>
      </w:r>
    </w:p>
    <w:p>
      <w:pPr>
        <w:pStyle w:val="WWTekstas"/>
        <w:spacing w:before="0" w:after="0"/>
        <w:jc w:val="center"/>
        <w:rPr>
          <w:rFonts w:cs="Tahoma"/>
          <w:b/>
          <w:b/>
          <w:bCs/>
        </w:rPr>
      </w:pPr>
      <w:r>
        <w:rPr>
          <w:rFonts w:cs="Tahoma"/>
          <w:b/>
          <w:bCs/>
        </w:rPr>
      </w:r>
    </w:p>
    <w:tbl>
      <w:tblPr>
        <w:tblW w:w="13948" w:type="dxa"/>
        <w:jc w:val="left"/>
        <w:tblInd w:w="0" w:type="dxa"/>
        <w:tblCellMar>
          <w:top w:w="0" w:type="dxa"/>
          <w:left w:w="108" w:type="dxa"/>
          <w:bottom w:w="0" w:type="dxa"/>
          <w:right w:w="108" w:type="dxa"/>
        </w:tblCellMar>
        <w:tblLook w:firstRow="1" w:noVBand="1" w:lastRow="0" w:firstColumn="1" w:lastColumn="0" w:noHBand="0" w:val="04a0"/>
      </w:tblPr>
      <w:tblGrid>
        <w:gridCol w:w="1361"/>
        <w:gridCol w:w="2188"/>
        <w:gridCol w:w="6995"/>
        <w:gridCol w:w="1921"/>
        <w:gridCol w:w="1483"/>
      </w:tblGrid>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b/>
                <w:b/>
                <w:bCs/>
              </w:rPr>
            </w:pPr>
            <w:r>
              <w:rPr>
                <w:rFonts w:cs="Tahoma"/>
                <w:b/>
                <w:bCs/>
              </w:rPr>
              <w:t>Priemonės kodas</w:t>
            </w:r>
          </w:p>
        </w:tc>
        <w:tc>
          <w:tcPr>
            <w:tcW w:w="2188"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b/>
                <w:b/>
                <w:bCs/>
              </w:rPr>
            </w:pPr>
            <w:r>
              <w:rPr>
                <w:rFonts w:cs="Tahoma"/>
                <w:b/>
                <w:bCs/>
              </w:rPr>
              <w:t>Priemonės pavadinimas</w:t>
            </w:r>
          </w:p>
        </w:tc>
        <w:tc>
          <w:tcPr>
            <w:tcW w:w="6995"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b/>
                <w:b/>
                <w:bCs/>
              </w:rPr>
            </w:pPr>
            <w:r>
              <w:rPr>
                <w:rFonts w:cs="Tahoma"/>
                <w:b/>
                <w:bCs/>
              </w:rPr>
              <w:t>Veiklos pavadinimas, planuojami darbai</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b/>
                <w:b/>
                <w:bCs/>
              </w:rPr>
            </w:pPr>
            <w:r>
              <w:rPr>
                <w:rFonts w:cs="Tahoma"/>
                <w:b/>
                <w:bCs/>
              </w:rPr>
              <w:t>Atsakingi vykdytojai</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b/>
                <w:b/>
                <w:bCs/>
              </w:rPr>
            </w:pPr>
            <w:r>
              <w:rPr>
                <w:rFonts w:cs="Tahoma"/>
                <w:b/>
                <w:bCs/>
              </w:rPr>
              <w:t>Skirti asignavimai</w:t>
            </w:r>
          </w:p>
          <w:p>
            <w:pPr>
              <w:pStyle w:val="WWTekstas"/>
              <w:spacing w:before="0" w:after="0"/>
              <w:jc w:val="center"/>
              <w:rPr>
                <w:rFonts w:cs="Tahoma"/>
                <w:b/>
                <w:b/>
                <w:bCs/>
              </w:rPr>
            </w:pPr>
            <w:r>
              <w:rPr>
                <w:rFonts w:cs="Tahoma"/>
                <w:b/>
                <w:bCs/>
              </w:rPr>
              <w:t>Eur.</w:t>
            </w:r>
          </w:p>
        </w:tc>
      </w:tr>
      <w:tr>
        <w:trPr>
          <w:trHeight w:val="1350" w:hRule="atLeast"/>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ascii="Times New Roman" w:hAnsi="Times New Roman" w:cs="Times New Roman"/>
                <w:sz w:val="24"/>
                <w:szCs w:val="24"/>
              </w:rPr>
            </w:pPr>
            <w:r>
              <w:rPr/>
              <w:t>03.01.03.13</w:t>
            </w:r>
          </w:p>
        </w:tc>
        <w:tc>
          <w:tcPr>
            <w:tcW w:w="2188"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rFonts w:cs="Tahoma"/>
              </w:rPr>
              <w:t>Vykdyti gyvenamuosiuose rajonuose, viešosiose vietose šunų išvedžiojimo aikštelių, kačių šėrimo vietų ir kitos gyvūnų priežiūrai skirtos įrangos įrengimą, remontą ir sanitarinę priežiūrą</w:t>
            </w:r>
          </w:p>
          <w:p>
            <w:pPr>
              <w:pStyle w:val="WWTekstas"/>
              <w:spacing w:before="0" w:after="0"/>
              <w:rPr>
                <w:color w:val="000000"/>
              </w:rPr>
            </w:pPr>
            <w:r>
              <w:rPr>
                <w:color w:val="000000"/>
              </w:rPr>
            </w:r>
          </w:p>
        </w:tc>
        <w:tc>
          <w:tcPr>
            <w:tcW w:w="6995"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rPr>
                <w:rFonts w:cs="Tahoma"/>
              </w:rPr>
            </w:pPr>
            <w:r>
              <w:rPr>
                <w:rFonts w:cs="Tahoma"/>
              </w:rPr>
              <w:t>Vykdyti šunų išvedžiojimo aikštelės šienavimą, priežiūrą, užtikrinti tvarką kačių šėrimo vietose.</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rPr>
                <w:rFonts w:cs="Tahoma"/>
              </w:rPr>
            </w:pPr>
            <w:r>
              <w:rPr>
                <w:rFonts w:cs="Tahoma"/>
              </w:rPr>
              <w:t>Seniūnas,</w:t>
            </w:r>
          </w:p>
          <w:p>
            <w:pPr>
              <w:pStyle w:val="WWTekstas"/>
              <w:spacing w:before="0" w:after="0"/>
              <w:rPr>
                <w:rFonts w:cs="Tahoma"/>
              </w:rPr>
            </w:pPr>
            <w:r>
              <w:rPr>
                <w:rFonts w:cs="Tahoma"/>
              </w:rPr>
              <w:t>vyr. specialistas</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rFonts w:cs="Tahoma"/>
              </w:rPr>
            </w:r>
          </w:p>
          <w:p>
            <w:pPr>
              <w:pStyle w:val="WWTekstas"/>
              <w:spacing w:before="0" w:after="0"/>
              <w:jc w:val="center"/>
              <w:rPr>
                <w:rFonts w:cs="Tahoma"/>
              </w:rPr>
            </w:pPr>
            <w:r>
              <w:rPr>
                <w:rFonts w:cs="Tahoma"/>
              </w:rPr>
              <w:t>0</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shd w:fill="FFFFFF" w:val="clear"/>
              </w:rPr>
              <w:t>04.01.01.01</w:t>
            </w:r>
          </w:p>
        </w:tc>
        <w:tc>
          <w:tcPr>
            <w:tcW w:w="2188"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shd w:fill="FFFFFF" w:val="clear"/>
              </w:rPr>
              <w:t>Tvarkyti aplinką ir vykdyti infrastruktūros objektų priežiūrą ir remontą</w:t>
            </w:r>
          </w:p>
        </w:tc>
        <w:tc>
          <w:tcPr>
            <w:tcW w:w="6995" w:type="dxa"/>
            <w:tcBorders>
              <w:top w:val="single" w:sz="4" w:space="0" w:color="000000"/>
              <w:left w:val="single" w:sz="4" w:space="0" w:color="000000"/>
              <w:bottom w:val="single" w:sz="4" w:space="0" w:color="000000"/>
              <w:right w:val="single" w:sz="4" w:space="0" w:color="000000"/>
            </w:tcBorders>
            <w:shd w:color="auto" w:fill="auto" w:val="clear"/>
          </w:tcPr>
          <w:p>
            <w:pPr>
              <w:pStyle w:val="WWLentelsturinys11"/>
              <w:spacing w:before="0" w:after="0"/>
              <w:rPr>
                <w:rFonts w:cs="Tahoma"/>
              </w:rPr>
            </w:pPr>
            <w:r>
              <w:rPr>
                <w:shd w:fill="FFFFFF" w:val="clear"/>
              </w:rPr>
              <w:t>Aplinkos tvarkymas:</w:t>
            </w:r>
          </w:p>
          <w:p>
            <w:pPr>
              <w:pStyle w:val="WWLentelsturinys11"/>
              <w:numPr>
                <w:ilvl w:val="0"/>
                <w:numId w:val="1"/>
              </w:numPr>
              <w:spacing w:before="0" w:after="0"/>
              <w:ind w:left="340" w:hanging="170"/>
              <w:rPr>
                <w:rFonts w:cs="Tahoma"/>
              </w:rPr>
            </w:pPr>
            <w:r>
              <w:rPr>
                <w:shd w:fill="FFFFFF" w:val="clear"/>
              </w:rPr>
              <w:t xml:space="preserve"> </w:t>
            </w:r>
            <w:r>
              <w:rPr>
                <w:shd w:fill="FFFFFF" w:val="clear"/>
              </w:rPr>
              <w:t xml:space="preserve">želdynų (medžių, krūmų), žaliųjų plotų priežiūra ir tvarkymas, </w:t>
            </w:r>
          </w:p>
          <w:p>
            <w:pPr>
              <w:pStyle w:val="WWLentelsturinys11"/>
              <w:numPr>
                <w:ilvl w:val="0"/>
                <w:numId w:val="1"/>
              </w:numPr>
              <w:spacing w:before="0" w:after="0"/>
              <w:ind w:left="340" w:hanging="170"/>
              <w:rPr>
                <w:rFonts w:cs="Tahoma"/>
              </w:rPr>
            </w:pPr>
            <w:r>
              <w:rPr>
                <w:shd w:fill="FFFFFF" w:val="clear"/>
              </w:rPr>
              <w:t xml:space="preserve"> </w:t>
            </w:r>
            <w:r>
              <w:rPr>
                <w:shd w:fill="FFFFFF" w:val="clear"/>
              </w:rPr>
              <w:t>nelegalių sąvartynų tvarkymas,</w:t>
            </w:r>
          </w:p>
          <w:p>
            <w:pPr>
              <w:pStyle w:val="WWLentelsturinys11"/>
              <w:numPr>
                <w:ilvl w:val="0"/>
                <w:numId w:val="1"/>
              </w:numPr>
              <w:spacing w:before="0" w:after="0"/>
              <w:ind w:left="340" w:hanging="170"/>
              <w:rPr>
                <w:rFonts w:cs="Tahoma"/>
              </w:rPr>
            </w:pPr>
            <w:r>
              <w:rPr>
                <w:shd w:fill="FFFFFF" w:val="clear"/>
              </w:rPr>
              <w:t xml:space="preserve"> </w:t>
            </w:r>
            <w:r>
              <w:rPr>
                <w:shd w:fill="FFFFFF" w:val="clear"/>
              </w:rPr>
              <w:t xml:space="preserve">gėlynų įrengimas ir priežiūra, </w:t>
            </w:r>
          </w:p>
          <w:p>
            <w:pPr>
              <w:pStyle w:val="WWLentelsturinys11"/>
              <w:numPr>
                <w:ilvl w:val="0"/>
                <w:numId w:val="1"/>
              </w:numPr>
              <w:spacing w:before="0" w:after="0"/>
              <w:ind w:left="340" w:hanging="170"/>
              <w:rPr>
                <w:rFonts w:cs="Tahoma"/>
              </w:rPr>
            </w:pPr>
            <w:r>
              <w:rPr>
                <w:shd w:fill="FFFFFF" w:val="clear"/>
              </w:rPr>
              <w:t xml:space="preserve"> </w:t>
            </w:r>
            <w:r>
              <w:rPr>
                <w:shd w:fill="FFFFFF" w:val="clear"/>
              </w:rPr>
              <w:t>vaikų žaidimų aikštelių priežiūra,</w:t>
            </w:r>
          </w:p>
          <w:p>
            <w:pPr>
              <w:pStyle w:val="WWLentelsturinys11"/>
              <w:numPr>
                <w:ilvl w:val="0"/>
                <w:numId w:val="1"/>
              </w:numPr>
              <w:spacing w:before="0" w:after="0"/>
              <w:ind w:left="340" w:hanging="170"/>
              <w:rPr>
                <w:rFonts w:cs="Tahoma"/>
              </w:rPr>
            </w:pPr>
            <w:r>
              <w:rPr>
                <w:rFonts w:cs="Tahoma"/>
              </w:rPr>
              <w:t xml:space="preserve"> </w:t>
            </w:r>
            <w:r>
              <w:rPr>
                <w:rFonts w:cs="Tahoma"/>
              </w:rPr>
              <w:t>Kalėdų eglės pastatymas, puošimas, nupuošimas, pašalinimas;</w:t>
            </w:r>
          </w:p>
          <w:p>
            <w:pPr>
              <w:pStyle w:val="WWLentelsturinys11"/>
              <w:numPr>
                <w:ilvl w:val="0"/>
                <w:numId w:val="1"/>
              </w:numPr>
              <w:spacing w:before="0" w:after="0"/>
              <w:ind w:left="340" w:hanging="170"/>
              <w:rPr>
                <w:rFonts w:cs="Tahoma"/>
              </w:rPr>
            </w:pPr>
            <w:r>
              <w:rPr>
                <w:bCs/>
                <w:iCs/>
                <w:color w:val="000000"/>
                <w:shd w:fill="FFFFFF" w:val="clear"/>
              </w:rPr>
              <w:t xml:space="preserve"> </w:t>
            </w:r>
            <w:r>
              <w:rPr>
                <w:bCs/>
                <w:iCs/>
                <w:color w:val="000000"/>
                <w:shd w:fill="FFFFFF" w:val="clear"/>
              </w:rPr>
              <w:t>turto įsigijimas (krūmapjovė – trimeris, žoliapjovė).</w:t>
            </w:r>
          </w:p>
          <w:p>
            <w:pPr>
              <w:pStyle w:val="WWTekstas"/>
              <w:spacing w:before="0" w:after="0"/>
              <w:jc w:val="center"/>
              <w:rPr>
                <w:rFonts w:cs="Tahoma"/>
              </w:rPr>
            </w:pPr>
            <w:r>
              <w:rPr>
                <w:rFonts w:cs="Tahoma"/>
              </w:rPr>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rPr>
                <w:rFonts w:cs="Tahoma"/>
              </w:rPr>
            </w:pPr>
            <w:r>
              <w:rPr>
                <w:rFonts w:cs="Tahoma"/>
              </w:rPr>
              <w:t>Seniūnas,           vyr. specialistas</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rFonts w:cs="Tahoma"/>
              </w:rPr>
            </w:r>
          </w:p>
          <w:p>
            <w:pPr>
              <w:pStyle w:val="WWTekstas"/>
              <w:spacing w:before="0" w:after="0"/>
              <w:jc w:val="center"/>
              <w:rPr>
                <w:rFonts w:cs="Tahoma"/>
              </w:rPr>
            </w:pPr>
            <w:r>
              <w:rPr>
                <w:rFonts w:cs="Tahoma"/>
              </w:rPr>
              <w:t>14700</w:t>
            </w:r>
          </w:p>
          <w:p>
            <w:pPr>
              <w:pStyle w:val="WWTekstas"/>
              <w:spacing w:before="0" w:after="0"/>
              <w:jc w:val="center"/>
              <w:rPr>
                <w:rFonts w:cs="Tahoma"/>
              </w:rPr>
            </w:pPr>
            <w:r>
              <w:rPr>
                <w:rFonts w:cs="Tahoma"/>
              </w:rPr>
            </w:r>
          </w:p>
          <w:p>
            <w:pPr>
              <w:pStyle w:val="WWTekstas"/>
              <w:spacing w:before="0" w:after="0"/>
              <w:jc w:val="center"/>
              <w:rPr>
                <w:rFonts w:cs="Tahoma"/>
              </w:rPr>
            </w:pPr>
            <w:r>
              <w:rPr>
                <w:rFonts w:cs="Tahoma"/>
              </w:rPr>
            </w:r>
          </w:p>
          <w:p>
            <w:pPr>
              <w:pStyle w:val="WWTekstas"/>
              <w:spacing w:before="0" w:after="0"/>
              <w:jc w:val="center"/>
              <w:rPr>
                <w:rFonts w:cs="Tahoma"/>
              </w:rPr>
            </w:pPr>
            <w:r>
              <w:rPr>
                <w:rFonts w:cs="Tahoma"/>
              </w:rPr>
            </w:r>
          </w:p>
          <w:p>
            <w:pPr>
              <w:pStyle w:val="WWTekstas"/>
              <w:spacing w:before="0" w:after="0"/>
              <w:jc w:val="center"/>
              <w:rPr>
                <w:rFonts w:cs="Tahoma"/>
              </w:rPr>
            </w:pPr>
            <w:r>
              <w:rPr>
                <w:rFonts w:cs="Tahoma"/>
              </w:rPr>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rPr>
                <w:rFonts w:cs="Tahoma"/>
              </w:rPr>
            </w:pPr>
            <w:r>
              <w:rPr>
                <w:rFonts w:cs="Tahoma"/>
              </w:rPr>
              <w:t>10.01.01.07</w:t>
            </w:r>
          </w:p>
        </w:tc>
        <w:tc>
          <w:tcPr>
            <w:tcW w:w="2188"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rPr>
                <w:rFonts w:cs="Tahoma"/>
              </w:rPr>
            </w:pPr>
            <w:r>
              <w:rPr/>
              <w:t xml:space="preserve">Įgyvendinti Užimtumo didinimo programą laikiną užimtumą užtikrinančiomis priemonėmis </w:t>
            </w:r>
          </w:p>
        </w:tc>
        <w:tc>
          <w:tcPr>
            <w:tcW w:w="6995" w:type="dxa"/>
            <w:tcBorders>
              <w:top w:val="single" w:sz="4" w:space="0" w:color="000000"/>
              <w:left w:val="single" w:sz="4" w:space="0" w:color="000000"/>
              <w:bottom w:val="single" w:sz="4" w:space="0" w:color="000000"/>
              <w:right w:val="single" w:sz="4" w:space="0" w:color="000000"/>
            </w:tcBorders>
            <w:shd w:color="auto" w:fill="auto" w:val="clear"/>
          </w:tcPr>
          <w:p>
            <w:pPr>
              <w:pStyle w:val="WWLentelsturinys11"/>
              <w:snapToGrid w:val="false"/>
              <w:spacing w:before="0" w:after="0"/>
              <w:jc w:val="both"/>
              <w:rPr>
                <w:color w:val="000000"/>
              </w:rPr>
            </w:pPr>
            <w:r>
              <w:rPr>
                <w:color w:val="000000"/>
              </w:rPr>
              <w:t xml:space="preserve">Savivaldybė, įgyvendindama Lietuvos Respublikos užimtumo įstatymą, rengia ir įgyvendina Užimtumo didinimo programą, kurios uždavinys – sukurti laikinas darbo vietas, į kurias būtų įdarbinti bedarbiai ir jiems sudarytos galimybės integruotis į darbo rinką, įgyti ir (ar) išsaugoti darbinius ar profesinius įgūdžius. </w:t>
            </w:r>
          </w:p>
          <w:p>
            <w:pPr>
              <w:pStyle w:val="WWLentelsturinys11"/>
              <w:snapToGrid w:val="false"/>
              <w:spacing w:before="0" w:after="0"/>
              <w:jc w:val="both"/>
              <w:rPr>
                <w:rFonts w:cs="Tahoma"/>
              </w:rPr>
            </w:pPr>
            <w:r>
              <w:rPr>
                <w:rFonts w:cs="Tahoma"/>
              </w:rPr>
              <w:t>Rėkyvos seniūnijoje įdarbinti 4 žmonės teritorijos tvarkymui, paplūdimių priežiūrai, šienavimui, šiukšlių rinkimui, krūmų kirtimui, gėlynų priežiūrai.</w:t>
            </w:r>
          </w:p>
          <w:p>
            <w:pPr>
              <w:pStyle w:val="Normal"/>
              <w:snapToGrid w:val="false"/>
              <w:spacing w:before="0" w:after="160"/>
              <w:jc w:val="both"/>
              <w:rPr>
                <w:rFonts w:ascii="Times New Roman" w:hAnsi="Times New Roman" w:cs="Times New Roman"/>
                <w:sz w:val="24"/>
                <w:szCs w:val="24"/>
              </w:rPr>
            </w:pPr>
            <w:r>
              <w:rPr>
                <w:rFonts w:cs="Times New Roman" w:ascii="Times New Roman" w:hAnsi="Times New Roman"/>
                <w:sz w:val="24"/>
                <w:szCs w:val="24"/>
              </w:rPr>
              <w:t>Užimtumo programos įgyvendinimui reikalingų darbo priemonių įsigijimas.</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rPr>
                <w:rFonts w:cs="Tahoma"/>
              </w:rPr>
            </w:pPr>
            <w:r>
              <w:rPr>
                <w:rFonts w:cs="Tahoma"/>
              </w:rPr>
              <w:t>Seniūnas,          vyr. specialistas</w:t>
            </w:r>
          </w:p>
          <w:p>
            <w:pPr>
              <w:pStyle w:val="WWTekstas"/>
              <w:spacing w:before="0" w:after="0"/>
              <w:rPr>
                <w:rFonts w:cs="Tahoma"/>
              </w:rPr>
            </w:pPr>
            <w:r>
              <w:rPr>
                <w:rFonts w:cs="Tahoma"/>
              </w:rPr>
            </w:r>
          </w:p>
          <w:p>
            <w:pPr>
              <w:pStyle w:val="WWTekstas"/>
              <w:spacing w:before="0" w:after="0"/>
              <w:rPr>
                <w:rFonts w:cs="Tahoma"/>
              </w:rPr>
            </w:pPr>
            <w:r>
              <w:rPr>
                <w:rFonts w:cs="Tahoma"/>
              </w:rPr>
            </w:r>
          </w:p>
          <w:p>
            <w:pPr>
              <w:pStyle w:val="WWTekstas"/>
              <w:spacing w:before="0" w:after="0"/>
              <w:rPr>
                <w:rFonts w:cs="Tahoma"/>
              </w:rPr>
            </w:pPr>
            <w:r>
              <w:rPr>
                <w:rFonts w:cs="Tahoma"/>
              </w:rPr>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rFonts w:cs="Tahoma"/>
              </w:rPr>
            </w:r>
          </w:p>
          <w:p>
            <w:pPr>
              <w:pStyle w:val="WWTekstas"/>
              <w:spacing w:before="0" w:after="0"/>
              <w:jc w:val="center"/>
              <w:rPr>
                <w:rFonts w:cs="Tahoma"/>
              </w:rPr>
            </w:pPr>
            <w:r>
              <w:rPr>
                <w:rFonts w:cs="Tahoma"/>
              </w:rPr>
              <w:t>300</w:t>
            </w:r>
          </w:p>
          <w:p>
            <w:pPr>
              <w:pStyle w:val="WWTekstas"/>
              <w:spacing w:before="0" w:after="0"/>
              <w:jc w:val="center"/>
              <w:rPr>
                <w:rFonts w:cs="Tahoma"/>
              </w:rPr>
            </w:pPr>
            <w:r>
              <w:rPr>
                <w:rFonts w:cs="Tahoma"/>
              </w:rPr>
            </w:r>
          </w:p>
          <w:p>
            <w:pPr>
              <w:pStyle w:val="WWTekstas"/>
              <w:spacing w:before="0" w:after="0"/>
              <w:jc w:val="center"/>
              <w:rPr>
                <w:rFonts w:cs="Tahoma"/>
              </w:rPr>
            </w:pPr>
            <w:r>
              <w:rPr>
                <w:rFonts w:cs="Tahoma"/>
              </w:rPr>
            </w:r>
          </w:p>
          <w:p>
            <w:pPr>
              <w:pStyle w:val="WWTekstas"/>
              <w:spacing w:before="0" w:after="0"/>
              <w:jc w:val="center"/>
              <w:rPr>
                <w:rFonts w:cs="Tahoma"/>
              </w:rPr>
            </w:pPr>
            <w:r>
              <w:rPr>
                <w:rFonts w:cs="Tahoma"/>
              </w:rPr>
            </w:r>
          </w:p>
          <w:p>
            <w:pPr>
              <w:pStyle w:val="WWTekstas"/>
              <w:spacing w:before="0" w:after="0"/>
              <w:jc w:val="center"/>
              <w:rPr>
                <w:rFonts w:cs="Tahoma"/>
              </w:rPr>
            </w:pPr>
            <w:r>
              <w:rPr>
                <w:rFonts w:cs="Tahoma"/>
              </w:rPr>
            </w:r>
          </w:p>
          <w:p>
            <w:pPr>
              <w:pStyle w:val="WWTekstas"/>
              <w:spacing w:before="0" w:after="0"/>
              <w:jc w:val="center"/>
              <w:rPr>
                <w:rFonts w:cs="Tahoma"/>
              </w:rPr>
            </w:pPr>
            <w:r>
              <w:rPr>
                <w:rFonts w:cs="Tahoma"/>
              </w:rPr>
            </w:r>
          </w:p>
          <w:p>
            <w:pPr>
              <w:pStyle w:val="WWTekstas"/>
              <w:spacing w:before="0" w:after="0"/>
              <w:jc w:val="center"/>
              <w:rPr>
                <w:rFonts w:cs="Tahoma"/>
              </w:rPr>
            </w:pPr>
            <w:r>
              <w:rPr>
                <w:rFonts w:cs="Tahoma"/>
              </w:rPr>
            </w:r>
          </w:p>
          <w:p>
            <w:pPr>
              <w:pStyle w:val="WWTekstas"/>
              <w:spacing w:before="0" w:after="0"/>
              <w:jc w:val="center"/>
              <w:rPr>
                <w:rFonts w:cs="Tahoma"/>
              </w:rPr>
            </w:pPr>
            <w:r>
              <w:rPr>
                <w:rFonts w:cs="Tahoma"/>
              </w:rPr>
            </w:r>
          </w:p>
          <w:p>
            <w:pPr>
              <w:pStyle w:val="WWTekstas"/>
              <w:spacing w:before="0" w:after="0"/>
              <w:jc w:val="center"/>
              <w:rPr>
                <w:rFonts w:cs="Tahoma"/>
              </w:rPr>
            </w:pPr>
            <w:r>
              <w:rPr>
                <w:rFonts w:cs="Tahoma"/>
              </w:rPr>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rFonts w:cs="Tahoma"/>
              </w:rPr>
              <w:t>11.01.02.</w:t>
            </w:r>
          </w:p>
        </w:tc>
        <w:tc>
          <w:tcPr>
            <w:tcW w:w="2188"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t>Tinkamai įgyvendinti valstybines (perduotas savivaldybei) funkcijas.</w:t>
            </w:r>
          </w:p>
        </w:tc>
        <w:tc>
          <w:tcPr>
            <w:tcW w:w="6995"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both"/>
              <w:rPr>
                <w:rFonts w:cs="Tahoma"/>
              </w:rPr>
            </w:pPr>
            <w:r>
              <w:rPr>
                <w:rFonts w:cs="Tahoma"/>
              </w:rPr>
              <w:t xml:space="preserve">Gyvenamosios vietos deklaravimas ir duomenų tvarkymas, gyvenamosios vietos neturinčių asmenų apskaita, pažymų apie deklaruotą gyvenamąją vietą bei šeimos sudėtį išdavimas. </w:t>
            </w:r>
          </w:p>
          <w:p>
            <w:pPr>
              <w:pStyle w:val="WWTekstas"/>
              <w:spacing w:before="0" w:after="0"/>
              <w:jc w:val="both"/>
              <w:rPr>
                <w:rFonts w:cs="Tahoma"/>
              </w:rPr>
            </w:pPr>
            <w:r>
              <w:rPr>
                <w:rFonts w:cs="Tahoma"/>
              </w:rPr>
              <w:t>Prašymų ir skundų nagrinėjimas.</w:t>
            </w:r>
          </w:p>
          <w:p>
            <w:pPr>
              <w:pStyle w:val="WWTekstas"/>
              <w:spacing w:before="0" w:after="0"/>
              <w:jc w:val="both"/>
              <w:rPr>
                <w:rFonts w:cs="Tahoma"/>
              </w:rPr>
            </w:pPr>
            <w:r>
              <w:rPr>
                <w:rFonts w:cs="Tahoma"/>
              </w:rPr>
              <w:t>Pagalba ruošiantis LR Seimo rinkimams.</w:t>
            </w:r>
          </w:p>
          <w:p>
            <w:pPr>
              <w:pStyle w:val="WWTekstas"/>
              <w:spacing w:before="0" w:after="0"/>
              <w:jc w:val="both"/>
              <w:rPr>
                <w:rFonts w:ascii="Times New Roman" w:hAnsi="Times New Roman" w:cs="Times New Roman"/>
                <w:sz w:val="24"/>
                <w:szCs w:val="24"/>
              </w:rPr>
            </w:pPr>
            <w:r>
              <w:rPr/>
              <w:t xml:space="preserve">Vietos savivaldos įstatyme numatytų notarinių veiksmų atlikimas. </w:t>
            </w:r>
          </w:p>
          <w:p>
            <w:pPr>
              <w:pStyle w:val="WWTekstas"/>
              <w:spacing w:before="0" w:after="0"/>
              <w:jc w:val="both"/>
              <w:rPr>
                <w:rFonts w:cs="Tahoma"/>
              </w:rPr>
            </w:pPr>
            <w:r>
              <w:rPr/>
              <w:t>Seniūnaičių sueigų, išplėstinių seniūnaičių sueigų, seniūnijos gyventojų sueigų organizavimas.</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rPr>
                <w:rFonts w:cs="Tahoma"/>
              </w:rPr>
            </w:pPr>
            <w:r>
              <w:rPr>
                <w:rFonts w:cs="Tahoma"/>
              </w:rPr>
              <w:t>Seniūnas,          vyr. specialistas</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rFonts w:cs="Tahoma"/>
              </w:rPr>
              <w:t>0</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rFonts w:cs="Tahoma"/>
              </w:rPr>
              <w:t>11.01.02.12</w:t>
            </w:r>
          </w:p>
        </w:tc>
        <w:tc>
          <w:tcPr>
            <w:tcW w:w="2188"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ascii="Times New Roman" w:hAnsi="Times New Roman" w:cs="Times New Roman"/>
                <w:sz w:val="24"/>
                <w:szCs w:val="24"/>
              </w:rPr>
            </w:pPr>
            <w:r>
              <w:rPr/>
              <w:t>Organizuoti civilinę saugą</w:t>
            </w:r>
          </w:p>
        </w:tc>
        <w:tc>
          <w:tcPr>
            <w:tcW w:w="6995"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both"/>
              <w:rPr>
                <w:rFonts w:cs="Tahoma"/>
              </w:rPr>
            </w:pPr>
            <w:r>
              <w:rPr/>
              <w:t>Bendradarbiavimas su įvairių institucijų atstovais bei Savivaldybės administracijos skyriais organizuojant civilinės saugos priemones, vykdyti mobilizacinius nurodymus.</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rPr>
                <w:rFonts w:cs="Tahoma"/>
              </w:rPr>
            </w:pPr>
            <w:r>
              <w:rPr>
                <w:rFonts w:cs="Tahoma"/>
              </w:rPr>
              <w:t>Seniūnas,       vyr. specialistas</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rFonts w:cs="Tahoma"/>
              </w:rPr>
              <w:t>0</w:t>
            </w:r>
          </w:p>
        </w:tc>
      </w:tr>
      <w:tr>
        <w:trPr/>
        <w:tc>
          <w:tcPr>
            <w:tcW w:w="136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t>11.02.01.</w:t>
            </w:r>
          </w:p>
        </w:tc>
        <w:tc>
          <w:tcPr>
            <w:tcW w:w="2188"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ascii="Times New Roman" w:hAnsi="Times New Roman" w:cs="Times New Roman"/>
                <w:sz w:val="24"/>
                <w:szCs w:val="24"/>
              </w:rPr>
            </w:pPr>
            <w:r>
              <w:rPr/>
              <w:t>Plėtoti bendradarbiavimą su miesto teisėtvarkos institucijomis ir vietos bendruomene</w:t>
            </w:r>
          </w:p>
        </w:tc>
        <w:tc>
          <w:tcPr>
            <w:tcW w:w="6995"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both"/>
              <w:rPr>
                <w:rFonts w:ascii="Times New Roman" w:hAnsi="Times New Roman" w:cs="Times New Roman"/>
                <w:sz w:val="24"/>
                <w:szCs w:val="24"/>
              </w:rPr>
            </w:pPr>
            <w:r>
              <w:rPr/>
              <w:t>Bendradarbiavimas su policijos, priešgaisrinės gelbėjimo tarnybos, Rėkyvos savanorių ugniagesių draugijos, Probacijos, aplinkos apsaugos ir kitų institucijų atstovais, bei savivaldybės administracijos skyriais, siekiant užtikrinti saugią gyvenamąją aplinką seniūnijos teritorijoje.</w:t>
            </w:r>
          </w:p>
          <w:p>
            <w:pPr>
              <w:pStyle w:val="WWTekstas"/>
              <w:spacing w:before="0" w:after="0"/>
              <w:jc w:val="both"/>
              <w:rPr>
                <w:rFonts w:cs="Tahoma"/>
              </w:rPr>
            </w:pPr>
            <w:r>
              <w:rPr/>
              <w:t>Skatinti Nevyriausybinių organizacijų ir bendruomenių veiklą seniūnijos teritorijoje, raginti aktyviai dalyvauti konkursuose dėl projektų finansavimo pagal priemonę „Stiprinti bendruomeninę veiklą savivaldybėse“.</w:t>
            </w:r>
          </w:p>
        </w:tc>
        <w:tc>
          <w:tcPr>
            <w:tcW w:w="1921"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rPr>
                <w:rFonts w:cs="Tahoma"/>
              </w:rPr>
            </w:pPr>
            <w:r>
              <w:rPr>
                <w:rFonts w:cs="Tahoma"/>
              </w:rPr>
              <w:t>Seniūnas,          vyr. specialistas</w:t>
            </w:r>
          </w:p>
        </w:tc>
        <w:tc>
          <w:tcPr>
            <w:tcW w:w="1483" w:type="dxa"/>
            <w:tcBorders>
              <w:top w:val="single" w:sz="4" w:space="0" w:color="000000"/>
              <w:left w:val="single" w:sz="4" w:space="0" w:color="000000"/>
              <w:bottom w:val="single" w:sz="4" w:space="0" w:color="000000"/>
              <w:right w:val="single" w:sz="4" w:space="0" w:color="000000"/>
            </w:tcBorders>
            <w:shd w:color="auto" w:fill="auto" w:val="clear"/>
          </w:tcPr>
          <w:p>
            <w:pPr>
              <w:pStyle w:val="WWTekstas"/>
              <w:spacing w:before="0" w:after="0"/>
              <w:jc w:val="center"/>
              <w:rPr>
                <w:rFonts w:cs="Tahoma"/>
              </w:rPr>
            </w:pPr>
            <w:r>
              <w:rPr>
                <w:color w:val="000000"/>
              </w:rPr>
              <w:t>Valstybės biudžeto lėšos</w:t>
            </w:r>
            <w:r>
              <w:rPr>
                <w:rFonts w:cs="Tahoma"/>
              </w:rPr>
              <w:t xml:space="preserve"> </w:t>
            </w:r>
          </w:p>
        </w:tc>
      </w:tr>
    </w:tbl>
    <w:p>
      <w:pPr>
        <w:sectPr>
          <w:type w:val="nextPage"/>
          <w:pgSz w:orient="landscape" w:w="16838" w:h="11906"/>
          <w:pgMar w:left="1440" w:right="1440" w:header="0" w:top="1440" w:footer="0" w:bottom="1440" w:gutter="0"/>
          <w:pgNumType w:fmt="decimal"/>
          <w:formProt w:val="false"/>
          <w:textDirection w:val="lrTb"/>
          <w:docGrid w:type="default" w:linePitch="360" w:charSpace="4096"/>
        </w:sectPr>
      </w:pPr>
    </w:p>
    <w:p>
      <w:pPr>
        <w:pStyle w:val="WWTekstas"/>
        <w:jc w:val="center"/>
        <w:rPr>
          <w:rFonts w:cs="Tahoma"/>
          <w:b/>
          <w:b/>
          <w:bCs/>
        </w:rPr>
      </w:pPr>
      <w:r>
        <w:rPr>
          <w:rFonts w:cs="Tahoma"/>
          <w:b/>
          <w:bCs/>
        </w:rPr>
        <w:t>VI. LĖŠOS PLANUI ĮGYVENDINTI</w:t>
      </w:r>
    </w:p>
    <w:p>
      <w:pPr>
        <w:pStyle w:val="Normal"/>
        <w:spacing w:beforeAutospacing="1" w:afterAutospacing="1"/>
        <w:ind w:firstLine="851"/>
        <w:jc w:val="both"/>
        <w:rPr>
          <w:rFonts w:ascii="Times New Roman" w:hAnsi="Times New Roman" w:eastAsia="Times New Roman" w:cs="Times New Roman"/>
          <w:sz w:val="24"/>
          <w:szCs w:val="24"/>
          <w:lang w:eastAsia="lt-LT"/>
        </w:rPr>
      </w:pPr>
      <w:r>
        <w:rPr>
          <w:rFonts w:eastAsia="Times New Roman" w:cs="Times New Roman" w:ascii="Times New Roman" w:hAnsi="Times New Roman"/>
          <w:b/>
          <w:bCs/>
          <w:sz w:val="24"/>
          <w:szCs w:val="24"/>
          <w:lang w:eastAsia="lt-LT"/>
        </w:rPr>
        <w:t>Galimi programų vykdymo ir finansavimo šaltiniai:</w:t>
      </w:r>
    </w:p>
    <w:p>
      <w:pPr>
        <w:pStyle w:val="Normal"/>
        <w:spacing w:before="0" w:after="0"/>
        <w:ind w:firstLine="851"/>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sz w:val="24"/>
          <w:szCs w:val="24"/>
          <w:lang w:eastAsia="lt-LT"/>
        </w:rPr>
        <w:t>1.</w:t>
      </w:r>
      <w:r>
        <w:rPr>
          <w:rFonts w:eastAsia="Times New Roman" w:cs="Times New Roman" w:ascii="Times New Roman" w:hAnsi="Times New Roman"/>
          <w:b/>
          <w:bCs/>
          <w:sz w:val="24"/>
          <w:szCs w:val="24"/>
          <w:lang w:eastAsia="lt-LT"/>
        </w:rPr>
        <w:t xml:space="preserve"> </w:t>
      </w:r>
      <w:r>
        <w:rPr>
          <w:rFonts w:eastAsia="Times New Roman" w:cs="Times New Roman" w:ascii="Times New Roman" w:hAnsi="Times New Roman"/>
          <w:color w:val="000000"/>
          <w:sz w:val="24"/>
          <w:szCs w:val="24"/>
          <w:lang w:eastAsia="lt-LT"/>
        </w:rPr>
        <w:t>Savivaldybės biudžeto lėšos (SB);</w:t>
      </w:r>
    </w:p>
    <w:p>
      <w:pPr>
        <w:pStyle w:val="Normal"/>
        <w:spacing w:before="0" w:after="0"/>
        <w:ind w:firstLine="851"/>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2. Valstybės biudžeto lėšos (VB);</w:t>
      </w:r>
    </w:p>
    <w:p>
      <w:pPr>
        <w:pStyle w:val="Normal"/>
        <w:spacing w:before="0" w:after="0"/>
        <w:ind w:firstLine="851"/>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3. Lėšos valstybinėms funkcijoms atlikti VB (VF);</w:t>
      </w:r>
    </w:p>
    <w:p>
      <w:pPr>
        <w:pStyle w:val="Normal"/>
        <w:spacing w:before="0" w:after="0"/>
        <w:ind w:firstLine="851"/>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4. Valstybės biudžeto lėšos KT (VB).</w:t>
      </w:r>
    </w:p>
    <w:p>
      <w:pPr>
        <w:pStyle w:val="WWTekstas"/>
        <w:spacing w:before="0" w:after="0"/>
        <w:jc w:val="center"/>
        <w:rPr>
          <w:rFonts w:cs="Tahoma"/>
          <w:b/>
          <w:b/>
          <w:bCs/>
        </w:rPr>
      </w:pPr>
      <w:r>
        <w:rPr>
          <w:rFonts w:cs="Tahoma"/>
          <w:b/>
          <w:bCs/>
        </w:rPr>
      </w:r>
    </w:p>
    <w:p>
      <w:pPr>
        <w:pStyle w:val="WWTekstas"/>
        <w:spacing w:before="0" w:after="0"/>
        <w:jc w:val="center"/>
        <w:rPr>
          <w:rFonts w:cs="Tahoma"/>
          <w:b/>
          <w:b/>
          <w:bCs/>
        </w:rPr>
      </w:pPr>
      <w:r>
        <w:rPr>
          <w:rFonts w:cs="Tahoma"/>
          <w:b/>
          <w:bCs/>
        </w:rPr>
      </w:r>
    </w:p>
    <w:p>
      <w:pPr>
        <w:pStyle w:val="Normal"/>
        <w:spacing w:before="0" w:after="0"/>
        <w:jc w:val="center"/>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t>VII. PLANUOJAMI REZULTATAI</w:t>
      </w:r>
    </w:p>
    <w:p>
      <w:pPr>
        <w:pStyle w:val="Normal"/>
        <w:spacing w:before="0" w:after="0"/>
        <w:jc w:val="center"/>
        <w:rPr>
          <w:rFonts w:ascii="Times New Roman" w:hAnsi="Times New Roman" w:eastAsia="Times New Roman" w:cs="Times New Roman"/>
          <w:b/>
          <w:b/>
          <w:bCs/>
          <w:color w:val="000000"/>
          <w:sz w:val="24"/>
          <w:szCs w:val="24"/>
          <w:lang w:eastAsia="lt-LT"/>
        </w:rPr>
      </w:pPr>
      <w:r>
        <w:rPr>
          <w:rFonts w:eastAsia="Times New Roman" w:cs="Times New Roman" w:ascii="Times New Roman" w:hAnsi="Times New Roman"/>
          <w:b/>
          <w:bCs/>
          <w:color w:val="000000"/>
          <w:sz w:val="24"/>
          <w:szCs w:val="24"/>
          <w:lang w:eastAsia="lt-LT"/>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10. Seniūnijos 2022-ųjų metų veiklos planas padės įgyvendinti Šiaulių miesto savivaldybės strateginį veiklos planą ir efektyviai vykdyti seniūnijai pavestas viešojo administravimo funkcijas, kokybišką viešųjų paslaugų teikimą, užtikrinti miesto infrastruktūros objektų priežiūrą, mažinti socialiai pažeidžiamų gyventojų ir jų grupių socialinę atskirtį, stiprinti bendruomeninę veiklą, gerinti seniūnijos teritorijos gyvenamąją aplinką bei gyvenimo kokybę, sudaryti sąlygas racionaliau planuoti ir naudoti turimus išteklius, bendradarbiauti su bendruomene.</w:t>
      </w:r>
    </w:p>
    <w:p>
      <w:pPr>
        <w:pStyle w:val="Normal"/>
        <w:spacing w:lineRule="auto" w:line="240" w:before="0" w:after="0"/>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Stilius1"/>
        <w:rPr>
          <w:rFonts w:ascii="Times New Roman" w:hAnsi="Times New Roman" w:eastAsia="Lucida Sans Unicode" w:cs="Tahoma"/>
          <w:b/>
          <w:b/>
          <w:bCs/>
          <w:sz w:val="24"/>
          <w:szCs w:val="24"/>
        </w:rPr>
      </w:pPr>
      <w:r>
        <w:rPr>
          <w:rFonts w:eastAsia="Lucida Sans Unicode" w:cs="Tahoma"/>
          <w:b/>
          <w:bCs/>
          <w:sz w:val="24"/>
          <w:szCs w:val="24"/>
        </w:rPr>
      </w:r>
    </w:p>
    <w:p>
      <w:pPr>
        <w:pStyle w:val="Stilius1"/>
        <w:rPr>
          <w:rFonts w:ascii="Times New Roman" w:hAnsi="Times New Roman" w:eastAsia="Lucida Sans Unicode" w:cs="Tahoma"/>
          <w:b/>
          <w:b/>
          <w:bCs/>
          <w:sz w:val="24"/>
          <w:szCs w:val="24"/>
        </w:rPr>
      </w:pPr>
      <w:r>
        <w:rPr>
          <w:rFonts w:eastAsia="Lucida Sans Unicode" w:cs="Tahoma"/>
          <w:b/>
          <w:bCs/>
          <w:sz w:val="24"/>
          <w:szCs w:val="24"/>
        </w:rPr>
      </w:r>
    </w:p>
    <w:p>
      <w:pPr>
        <w:pStyle w:val="Stilius1"/>
        <w:rPr>
          <w:rFonts w:ascii="Times New Roman" w:hAnsi="Times New Roman" w:eastAsia="Lucida Sans Unicode" w:cs="Tahoma"/>
          <w:b/>
          <w:b/>
          <w:bCs/>
          <w:sz w:val="24"/>
          <w:szCs w:val="24"/>
        </w:rPr>
      </w:pPr>
      <w:r>
        <w:rPr>
          <w:rFonts w:eastAsia="Lucida Sans Unicode" w:cs="Tahoma"/>
          <w:b/>
          <w:bCs/>
          <w:sz w:val="24"/>
          <w:szCs w:val="24"/>
        </w:rPr>
      </w:r>
    </w:p>
    <w:p>
      <w:pPr>
        <w:pStyle w:val="Stilius1"/>
        <w:rPr>
          <w:rFonts w:ascii="Times New Roman" w:hAnsi="Times New Roman" w:eastAsia="Lucida Sans Unicode" w:cs="Tahoma"/>
          <w:b/>
          <w:b/>
          <w:bCs/>
          <w:sz w:val="24"/>
          <w:szCs w:val="24"/>
        </w:rPr>
      </w:pPr>
      <w:r>
        <w:rPr>
          <w:rFonts w:eastAsia="Lucida Sans Unicode" w:cs="Tahoma"/>
          <w:b/>
          <w:bCs/>
          <w:sz w:val="24"/>
          <w:szCs w:val="24"/>
        </w:rPr>
      </w:r>
    </w:p>
    <w:p>
      <w:pPr>
        <w:pStyle w:val="Stilius1"/>
        <w:rPr>
          <w:rFonts w:ascii="Times New Roman" w:hAnsi="Times New Roman" w:eastAsia="Lucida Sans Unicode" w:cs="Tahoma"/>
          <w:b/>
          <w:b/>
          <w:bCs/>
          <w:sz w:val="24"/>
          <w:szCs w:val="24"/>
        </w:rPr>
      </w:pPr>
      <w:r>
        <w:rPr>
          <w:rFonts w:eastAsia="Lucida Sans Unicode" w:cs="Tahoma"/>
          <w:b/>
          <w:bCs/>
          <w:sz w:val="24"/>
          <w:szCs w:val="24"/>
        </w:rPr>
      </w:r>
    </w:p>
    <w:p>
      <w:pPr>
        <w:pStyle w:val="Normal"/>
        <w:widowControl w:val="false"/>
        <w:suppressAutoHyphens w:val="true"/>
        <w:spacing w:lineRule="auto" w:line="240" w:before="0" w:after="0"/>
        <w:jc w:val="both"/>
        <w:rPr>
          <w:rFonts w:ascii="Times New Roman" w:hAnsi="Times New Roman" w:eastAsia="Lucida Sans Unicode" w:cs="Tahoma"/>
          <w:kern w:val="2"/>
          <w:sz w:val="24"/>
          <w:szCs w:val="24"/>
          <w:lang w:eastAsia="hi-IN" w:bidi="hi-IN"/>
        </w:rPr>
      </w:pPr>
      <w:r>
        <w:rPr>
          <w:rFonts w:eastAsia="Lucida Sans Unicode" w:cs="Tahoma" w:ascii="Times New Roman" w:hAnsi="Times New Roman"/>
          <w:kern w:val="2"/>
          <w:sz w:val="24"/>
          <w:szCs w:val="24"/>
          <w:lang w:eastAsia="hi-IN" w:bidi="hi-IN"/>
        </w:rPr>
        <w:t>Seniūnas</w:t>
        <w:tab/>
        <w:tab/>
        <w:tab/>
        <w:tab/>
        <w:tab/>
        <w:t xml:space="preserve">     Audronius Ribikauskas</w:t>
      </w:r>
    </w:p>
    <w:p>
      <w:pPr>
        <w:pStyle w:val="Stilius1"/>
        <w:rPr>
          <w:rFonts w:ascii="Times New Roman" w:hAnsi="Times New Roman" w:eastAsia="Lucida Sans Unicode" w:cs="Tahoma"/>
          <w:b/>
          <w:b/>
          <w:bCs/>
          <w:sz w:val="24"/>
          <w:szCs w:val="24"/>
        </w:rPr>
      </w:pPr>
      <w:r>
        <w:rPr>
          <w:rFonts w:eastAsia="Lucida Sans Unicode" w:cs="Tahoma"/>
          <w:b/>
          <w:bCs/>
          <w:sz w:val="24"/>
          <w:szCs w:val="24"/>
        </w:rPr>
      </w:r>
    </w:p>
    <w:p>
      <w:pPr>
        <w:pStyle w:val="Stilius1"/>
        <w:jc w:val="left"/>
        <w:rPr>
          <w:rFonts w:ascii="Times New Roman" w:hAnsi="Times New Roman" w:eastAsia="Lucida Sans Unicode" w:cs="Tahoma"/>
          <w:b/>
          <w:b/>
          <w:bCs/>
          <w:sz w:val="24"/>
          <w:szCs w:val="24"/>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Segoe UI">
    <w:charset w:val="ba"/>
    <w:family w:val="roman"/>
    <w:pitch w:val="variable"/>
  </w:font>
  <w:font w:name="Times New Roman">
    <w:charset w:val="ba"/>
    <w:family w:val="roman"/>
    <w:pitch w:val="variable"/>
  </w:font>
  <w:font w:name="Liberation Sans">
    <w:altName w:val="Arial"/>
    <w:charset w:val="ba"/>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basedOn w:val="DefaultParagraphFont"/>
    <w:link w:val="Debesliotekstas"/>
    <w:uiPriority w:val="99"/>
    <w:semiHidden/>
    <w:qFormat/>
    <w:rsid w:val="00091373"/>
    <w:rPr>
      <w:rFonts w:ascii="Segoe UI" w:hAnsi="Segoe UI" w:cs="Segoe UI"/>
      <w:sz w:val="18"/>
      <w:szCs w:val="18"/>
    </w:rPr>
  </w:style>
  <w:style w:type="character" w:styleId="AntratsDiagrama" w:customStyle="1">
    <w:name w:val="Antraštės Diagrama"/>
    <w:basedOn w:val="DefaultParagraphFont"/>
    <w:link w:val="Antrats"/>
    <w:uiPriority w:val="99"/>
    <w:qFormat/>
    <w:rsid w:val="000278dc"/>
    <w:rPr/>
  </w:style>
  <w:style w:type="character" w:styleId="PoratDiagrama" w:customStyle="1">
    <w:name w:val="Poraštė Diagrama"/>
    <w:basedOn w:val="DefaultParagraphFont"/>
    <w:link w:val="Porat"/>
    <w:uiPriority w:val="99"/>
    <w:qFormat/>
    <w:rsid w:val="000278dc"/>
    <w:rPr/>
  </w:style>
  <w:style w:type="character" w:styleId="Stilius1Diagrama" w:customStyle="1">
    <w:name w:val="Stilius1 Diagrama"/>
    <w:basedOn w:val="DefaultParagraphFont"/>
    <w:link w:val="Stilius1"/>
    <w:qFormat/>
    <w:rsid w:val="00a66d65"/>
    <w:rPr>
      <w:rFonts w:ascii="Times New Roman" w:hAnsi="Times New Roman" w:cs="Times New Roman"/>
      <w:sz w:val="24"/>
      <w:szCs w:val="24"/>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f51ab"/>
    <w:pPr>
      <w:spacing w:before="0" w:after="160"/>
      <w:ind w:left="720" w:hanging="0"/>
      <w:contextualSpacing/>
    </w:pPr>
    <w:rPr/>
  </w:style>
  <w:style w:type="paragraph" w:styleId="BalloonText">
    <w:name w:val="Balloon Text"/>
    <w:basedOn w:val="Normal"/>
    <w:link w:val="DebesliotekstasDiagrama"/>
    <w:uiPriority w:val="99"/>
    <w:semiHidden/>
    <w:unhideWhenUsed/>
    <w:qFormat/>
    <w:rsid w:val="00091373"/>
    <w:pPr>
      <w:spacing w:lineRule="auto" w:line="240" w:before="0" w:after="0"/>
    </w:pPr>
    <w:rPr>
      <w:rFonts w:ascii="Segoe UI" w:hAnsi="Segoe UI" w:cs="Segoe UI"/>
      <w:sz w:val="18"/>
      <w:szCs w:val="18"/>
    </w:rPr>
  </w:style>
  <w:style w:type="paragraph" w:styleId="WWTekstas" w:customStyle="1">
    <w:name w:val="WW-Tekstas"/>
    <w:basedOn w:val="Normal"/>
    <w:qFormat/>
    <w:rsid w:val="006c6d57"/>
    <w:pPr>
      <w:widowControl w:val="false"/>
      <w:suppressAutoHyphens w:val="true"/>
      <w:spacing w:lineRule="auto" w:line="240" w:before="0" w:after="120"/>
    </w:pPr>
    <w:rPr>
      <w:rFonts w:ascii="Times New Roman" w:hAnsi="Times New Roman" w:eastAsia="Lucida Sans Unicode" w:cs="Times New Roman"/>
      <w:sz w:val="24"/>
      <w:szCs w:val="24"/>
    </w:rPr>
  </w:style>
  <w:style w:type="paragraph" w:styleId="WWLentelsturinys11" w:customStyle="1">
    <w:name w:val="WW-Lentelės turinys11"/>
    <w:basedOn w:val="WWTekstas"/>
    <w:qFormat/>
    <w:rsid w:val="006c6d57"/>
    <w:pPr>
      <w:suppressLineNumbers/>
    </w:pPr>
    <w:rPr/>
  </w:style>
  <w:style w:type="paragraph" w:styleId="HeaderandFooter">
    <w:name w:val="Header and Footer"/>
    <w:basedOn w:val="Normal"/>
    <w:qFormat/>
    <w:pPr/>
    <w:rPr/>
  </w:style>
  <w:style w:type="paragraph" w:styleId="Header">
    <w:name w:val="Header"/>
    <w:basedOn w:val="Normal"/>
    <w:link w:val="AntratsDiagrama"/>
    <w:uiPriority w:val="99"/>
    <w:unhideWhenUsed/>
    <w:rsid w:val="000278dc"/>
    <w:pPr>
      <w:tabs>
        <w:tab w:val="clear" w:pos="1296"/>
        <w:tab w:val="center" w:pos="4513" w:leader="none"/>
        <w:tab w:val="right" w:pos="9026" w:leader="none"/>
      </w:tabs>
      <w:spacing w:lineRule="auto" w:line="240" w:before="0" w:after="0"/>
    </w:pPr>
    <w:rPr/>
  </w:style>
  <w:style w:type="paragraph" w:styleId="Footer">
    <w:name w:val="Footer"/>
    <w:basedOn w:val="Normal"/>
    <w:link w:val="PoratDiagrama"/>
    <w:uiPriority w:val="99"/>
    <w:unhideWhenUsed/>
    <w:rsid w:val="000278dc"/>
    <w:pPr>
      <w:tabs>
        <w:tab w:val="clear" w:pos="1296"/>
        <w:tab w:val="center" w:pos="4513" w:leader="none"/>
        <w:tab w:val="right" w:pos="9026" w:leader="none"/>
      </w:tabs>
      <w:spacing w:lineRule="auto" w:line="240" w:before="0" w:after="0"/>
    </w:pPr>
    <w:rPr/>
  </w:style>
  <w:style w:type="paragraph" w:styleId="Stilius1" w:customStyle="1">
    <w:name w:val="Stilius1"/>
    <w:basedOn w:val="Normal"/>
    <w:link w:val="Stilius1Diagrama"/>
    <w:qFormat/>
    <w:rsid w:val="00a66d65"/>
    <w:pPr>
      <w:spacing w:lineRule="auto" w:line="240" w:before="0" w:after="0"/>
      <w:jc w:val="center"/>
    </w:pPr>
    <w:rPr>
      <w:rFonts w:ascii="Times New Roman" w:hAnsi="Times New Roman" w:cs="Times New Roman"/>
      <w:sz w:val="24"/>
      <w:szCs w:val="24"/>
      <w:u w:val="single"/>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39"/>
    <w:rsid w:val="00d92c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F22C-892A-4D6C-B851-462DBBD5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Application>LibreOffice/6.4.1.2$Windows_X86_64 LibreOffice_project/4d224e95b98b138af42a64d84056446d09082932</Application>
  <Pages>5</Pages>
  <Words>784</Words>
  <Characters>5902</Characters>
  <CharactersWithSpaces>6681</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2021-01-25T10:29:00Z</dcterms:created>
  <dc:creator>Rėkyva</dc:creator>
  <dc:description/>
  <dc:language>lt-LT</dc:language>
  <cp:lastModifiedBy/>
  <cp:lastPrinted>2022-01-27T12:44:00Z</cp:lastPrinted>
  <dcterms:modified xsi:type="dcterms:W3CDTF">2022-02-08T10:37:54Z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